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0" w:name="bookmark0"/>
      <w:r w:rsidRPr="005D72FE">
        <w:t>ЗАКЛЮЧЕНИЕ</w:t>
      </w:r>
      <w:bookmarkEnd w:id="0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1" w:name="bookmark1"/>
      <w:r w:rsidRPr="005D72FE">
        <w:t>комиссии по экономической реформе, бюджету, налогам и муниципальной</w:t>
      </w:r>
      <w:bookmarkEnd w:id="1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2" w:name="bookmark2"/>
      <w:r w:rsidRPr="005D72FE">
        <w:t>собственности по результатам внешней проверки годового отчета об исполнении бюджета Криворожского сельского поселения Миллеровского</w:t>
      </w:r>
      <w:bookmarkEnd w:id="2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  <w:spacing w:after="354"/>
      </w:pPr>
      <w:bookmarkStart w:id="3" w:name="bookmark3"/>
      <w:r w:rsidRPr="005D72FE">
        <w:t>района за 20</w:t>
      </w:r>
      <w:r w:rsidR="00BD22DD">
        <w:t>2</w:t>
      </w:r>
      <w:r w:rsidR="00C74193">
        <w:t>2</w:t>
      </w:r>
      <w:r w:rsidRPr="005D72FE">
        <w:t xml:space="preserve"> год</w:t>
      </w:r>
      <w:bookmarkEnd w:id="3"/>
    </w:p>
    <w:p w:rsidR="005D72FE" w:rsidRPr="005D72FE" w:rsidRDefault="00ED5050" w:rsidP="005D72FE">
      <w:pPr>
        <w:pStyle w:val="a3"/>
        <w:framePr w:w="9955" w:h="15205" w:hRule="exact" w:wrap="around" w:vAnchor="page" w:hAnchor="page" w:x="1536" w:y="425"/>
        <w:shd w:val="clear" w:color="auto" w:fill="auto"/>
        <w:tabs>
          <w:tab w:val="left" w:pos="7470"/>
        </w:tabs>
        <w:spacing w:before="0" w:after="303" w:line="250" w:lineRule="exact"/>
        <w:ind w:left="20" w:firstLine="720"/>
      </w:pPr>
      <w:r>
        <w:t>1</w:t>
      </w:r>
      <w:r w:rsidR="00C849BF">
        <w:t xml:space="preserve">7 </w:t>
      </w:r>
      <w:r w:rsidR="005D72FE" w:rsidRPr="005D72FE">
        <w:t xml:space="preserve"> </w:t>
      </w:r>
      <w:r>
        <w:t xml:space="preserve">марта </w:t>
      </w:r>
      <w:r w:rsidR="005D72FE" w:rsidRPr="005D72FE">
        <w:t>20</w:t>
      </w:r>
      <w:r w:rsidR="00404335">
        <w:t>2</w:t>
      </w:r>
      <w:r w:rsidR="00C74193">
        <w:t>3</w:t>
      </w:r>
      <w:r w:rsidR="005D72FE" w:rsidRPr="005D72FE">
        <w:t xml:space="preserve"> г.</w:t>
      </w:r>
      <w:r w:rsidR="005D72FE" w:rsidRPr="005D72FE">
        <w:tab/>
        <w:t>Сл</w:t>
      </w:r>
      <w:proofErr w:type="gramStart"/>
      <w:r w:rsidR="005D72FE" w:rsidRPr="005D72FE">
        <w:t>.К</w:t>
      </w:r>
      <w:proofErr w:type="gramEnd"/>
      <w:r w:rsidR="005D72FE" w:rsidRPr="005D72FE">
        <w:t>риворожье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 xml:space="preserve">Заключение на годовой отчет об исполнении бюджета Криворожского сельского поселения </w:t>
      </w:r>
      <w:proofErr w:type="spellStart"/>
      <w:r w:rsidRPr="005D72FE">
        <w:t>Миллеровского</w:t>
      </w:r>
      <w:proofErr w:type="spellEnd"/>
      <w:r w:rsidRPr="005D72FE">
        <w:t xml:space="preserve"> района за 20</w:t>
      </w:r>
      <w:r w:rsidR="00BD22DD">
        <w:t>2</w:t>
      </w:r>
      <w:r w:rsidR="00C74193">
        <w:t>2</w:t>
      </w:r>
      <w:r w:rsidRPr="005D72FE">
        <w:t xml:space="preserve"> год подготовлено в соответствии со статьей 264.4 Бюджетного кодекса Российской Федерации и на основе годовой бюджетной отчетности.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rPr>
          <w:rStyle w:val="a4"/>
        </w:rPr>
        <w:t>Целью проверки</w:t>
      </w:r>
      <w:r w:rsidRPr="005D72FE">
        <w:t xml:space="preserve"> является составление и представление годовой отчетности об исполнении бюджета, анализ исполнения бюджета по данным годового отчета, подготовка заключения о внешней проверке годового отчета об исполнении бюджета.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rPr>
          <w:rStyle w:val="a4"/>
        </w:rPr>
        <w:t>Предмет проверки -</w:t>
      </w:r>
      <w:r w:rsidRPr="005D72FE">
        <w:t xml:space="preserve"> годовой отчет об исполнении бюджета Криворожского сельского поселения </w:t>
      </w:r>
      <w:proofErr w:type="spellStart"/>
      <w:r w:rsidRPr="005D72FE">
        <w:t>Миллеровского</w:t>
      </w:r>
      <w:proofErr w:type="spellEnd"/>
      <w:r w:rsidRPr="005D72FE">
        <w:t xml:space="preserve"> района за 20</w:t>
      </w:r>
      <w:r w:rsidR="00BD22DD">
        <w:t>2</w:t>
      </w:r>
      <w:r w:rsidR="00C74193">
        <w:t>2</w:t>
      </w:r>
      <w:r w:rsidR="00BD22DD">
        <w:t xml:space="preserve"> </w:t>
      </w:r>
      <w:r w:rsidRPr="005D72FE">
        <w:t>год.</w:t>
      </w:r>
    </w:p>
    <w:p w:rsidR="005D72FE" w:rsidRPr="005D72FE" w:rsidRDefault="00E831C9" w:rsidP="00D83044">
      <w:pPr>
        <w:pStyle w:val="220"/>
        <w:framePr w:w="9955" w:h="15205" w:hRule="exact" w:wrap="around" w:vAnchor="page" w:hAnchor="page" w:x="1536" w:y="425"/>
        <w:shd w:val="clear" w:color="auto" w:fill="auto"/>
        <w:spacing w:line="360" w:lineRule="auto"/>
        <w:ind w:left="20"/>
        <w:contextualSpacing/>
      </w:pPr>
      <w:bookmarkStart w:id="4" w:name="bookmark4"/>
      <w:r>
        <w:t>Внешней проверкой установлен</w:t>
      </w:r>
      <w:r w:rsidR="005D72FE" w:rsidRPr="005D72FE">
        <w:t>:</w:t>
      </w:r>
      <w:bookmarkEnd w:id="4"/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>Отчет об исполнении бюджета Криворожского сельского поселения Миллеровского района составлен на основании отчета Администрации Криворожского сельского поселения.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>Годовая бюджетная отчетность за 20</w:t>
      </w:r>
      <w:r w:rsidR="00BD22DD">
        <w:t>2</w:t>
      </w:r>
      <w:r w:rsidR="00D83044">
        <w:t>1</w:t>
      </w:r>
      <w:r w:rsidRPr="005D72FE">
        <w:t xml:space="preserve"> год соответствует требованиям статьи 264.5 Бюджетного кодекса Российской Федерации и представлена в полном объеме.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 xml:space="preserve">По своему составу бюджетная отчетность соответствует требованиям пункта </w:t>
      </w:r>
      <w:r w:rsidRPr="005D72FE">
        <w:rPr>
          <w:rStyle w:val="1pt"/>
        </w:rPr>
        <w:t>11.2</w:t>
      </w:r>
      <w:r w:rsidRPr="005D72FE">
        <w:t xml:space="preserve"> Инструкции о порядке составления и предоставления, годовой, квартальной и месячной отчетности об исполнении бюджетов бюджетной системы Российской Федерации, утвержденной Приказом Министер</w:t>
      </w:r>
      <w:r w:rsidR="000F0B41">
        <w:t xml:space="preserve">ства финансов РФ от 28.12.2010 </w:t>
      </w:r>
      <w:r w:rsidR="007277F8">
        <w:t>№</w:t>
      </w:r>
      <w:r w:rsidR="007277F8" w:rsidRPr="005D72FE">
        <w:t xml:space="preserve"> </w:t>
      </w:r>
      <w:r w:rsidRPr="005D72FE">
        <w:t xml:space="preserve">191 </w:t>
      </w:r>
      <w:proofErr w:type="spellStart"/>
      <w:r w:rsidRPr="005D72FE">
        <w:t>н</w:t>
      </w:r>
      <w:proofErr w:type="spellEnd"/>
      <w:r w:rsidRPr="005D72FE">
        <w:t xml:space="preserve"> и состоит из: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2031"/>
        </w:tabs>
        <w:spacing w:before="0" w:after="0" w:line="360" w:lineRule="auto"/>
        <w:ind w:left="20" w:right="40" w:firstLine="720"/>
        <w:contextualSpacing/>
      </w:pPr>
      <w:r w:rsidRPr="005D72FE">
        <w:t>Справки</w:t>
      </w:r>
      <w:r w:rsidRPr="005D72FE">
        <w:tab/>
        <w:t>по заключению счетов бюджетного учета отчетного финансового года (ф.0503110);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60" w:lineRule="auto"/>
        <w:ind w:left="20" w:firstLine="720"/>
        <w:contextualSpacing/>
      </w:pPr>
      <w:r w:rsidRPr="005D72FE">
        <w:t>Отчета об исполнении бюджета (ф. 0503117);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360" w:lineRule="auto"/>
        <w:ind w:left="20" w:firstLine="720"/>
        <w:contextualSpacing/>
      </w:pPr>
      <w:r w:rsidRPr="005D72FE">
        <w:t>Баланса исполнения бюджета (ф.0503120);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360" w:lineRule="auto"/>
        <w:ind w:left="20" w:firstLine="720"/>
        <w:contextualSpacing/>
      </w:pPr>
      <w:r w:rsidRPr="005D72FE">
        <w:t>Отчета о финансовых результатах деятельности (ф. 0503121);</w:t>
      </w:r>
    </w:p>
    <w:p w:rsidR="005D72FE" w:rsidRPr="005D72FE" w:rsidRDefault="005D72FE" w:rsidP="00D83044">
      <w:pPr>
        <w:pStyle w:val="10"/>
        <w:framePr w:w="10003" w:h="509" w:hRule="exact" w:wrap="around" w:vAnchor="page" w:hAnchor="page" w:x="1512" w:y="15630"/>
        <w:shd w:val="clear" w:color="auto" w:fill="auto"/>
        <w:spacing w:line="360" w:lineRule="auto"/>
        <w:contextualSpacing/>
        <w:jc w:val="right"/>
      </w:pPr>
      <w:r w:rsidRPr="005D72FE">
        <w:rPr>
          <w:rStyle w:val="a6"/>
          <w:noProof w:val="0"/>
        </w:rPr>
        <w:t>1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360" w:lineRule="auto"/>
        <w:ind w:left="20" w:firstLine="780"/>
        <w:contextualSpacing/>
      </w:pPr>
      <w:r w:rsidRPr="005D72FE">
        <w:lastRenderedPageBreak/>
        <w:t>Отчета о движении денежных средств (ф. 0503123);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124"/>
        </w:tabs>
        <w:spacing w:before="0" w:after="0" w:line="360" w:lineRule="auto"/>
        <w:ind w:left="20" w:right="20" w:firstLine="780"/>
        <w:contextualSpacing/>
      </w:pPr>
      <w:r w:rsidRPr="005D72FE">
        <w:t>Отчета о кассовом поступлении и выбытии бюджетных средств (ф. 0503124);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60" w:lineRule="auto"/>
        <w:ind w:left="20" w:firstLine="780"/>
        <w:contextualSpacing/>
      </w:pPr>
      <w:r w:rsidRPr="005D72FE">
        <w:t>Справки по консолидируемым расчетам (ф.0503125);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60" w:lineRule="auto"/>
        <w:ind w:left="20" w:firstLine="780"/>
        <w:contextualSpacing/>
      </w:pPr>
      <w:r w:rsidRPr="005D72FE">
        <w:t>Форма 0503128 Отчет о бюджетных обязательствах;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360" w:lineRule="auto"/>
        <w:ind w:left="20" w:firstLine="780"/>
        <w:contextualSpacing/>
      </w:pPr>
      <w:r w:rsidRPr="005D72FE">
        <w:t>Баланса по поступлениям и выбытиям бюджетных средств (ф. 0503140);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360" w:lineRule="auto"/>
        <w:ind w:left="20" w:firstLine="780"/>
        <w:contextualSpacing/>
      </w:pPr>
      <w:r w:rsidRPr="005D72FE">
        <w:t>Пояснительной записки (ф. 0503160).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Проверкой проведен сравнительный анализ и сопоставление полученных данных годовой бюджетной отчетности с показателями, утвержденными решением о бюджете Криворожского сельского поселения Миллеровского района на отчетный финансовый год и показателями, содержащимися в отчете об исполнении бюджета Криворожского сельского поселения Миллеровского района за отчетный финансовый год.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составе бюджетной отчетности представлен баланс по поступлениям и выбытиям бюджетных средств </w:t>
      </w:r>
      <w:r w:rsidRPr="00691131">
        <w:t>(ф. 0503140),</w:t>
      </w:r>
      <w:r w:rsidRPr="005D72FE">
        <w:t xml:space="preserve"> который отражает показатели в разрезе бюджетной деятельности. На начало отчетного периода отражены средства единого счета бюджета в сумме </w:t>
      </w:r>
      <w:r w:rsidR="00C74193">
        <w:t>263 931,57</w:t>
      </w:r>
      <w:r w:rsidR="00C74193" w:rsidRPr="00E831C9">
        <w:t xml:space="preserve"> </w:t>
      </w:r>
      <w:r w:rsidRPr="005D72FE">
        <w:t xml:space="preserve">рублей, на конец отчетного периода </w:t>
      </w:r>
      <w:r w:rsidR="00C74193">
        <w:t>2 546 983,67</w:t>
      </w:r>
      <w:r w:rsidRPr="00E831C9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Отчет о движении денежных средств (ф. 0503123) составлен на основании данных о движении денежных средств на счетах бюджета и едином счете бюджета.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разделе «Поступления» отражены полученные бюджетом Криворожского сельского поселения Миллеровского района доходы в сумме </w:t>
      </w:r>
      <w:r w:rsidR="00C74193">
        <w:t>20 482 764,2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разделе отчета «Выбытия» отражены выбытия средств бюджета Криворожского сельского поселения Миллеровского района в сумме </w:t>
      </w:r>
      <w:r w:rsidR="00C74193">
        <w:t>18 199 712,10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Состав пояснительной записки ф. 0503160 сформирован в соответствии с п. 152 Инструкции № 191н. Формы, не имеющие числовых значений, указаны в текстовой части ф. 0503160 в соответствии с п. 8 Инструкции №191н.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Сведений о движении нефинансовых активов отражает данные о движении нефинансовых активов (форма 0503168) в разделе 1 основные средства на конец отчетного периода составили </w:t>
      </w:r>
      <w:r w:rsidR="00E9483A" w:rsidRPr="00E562B8">
        <w:t>79930,0</w:t>
      </w:r>
      <w:r w:rsidR="00E60C57">
        <w:t xml:space="preserve"> </w:t>
      </w:r>
      <w:r w:rsidRPr="005D72FE">
        <w:t xml:space="preserve"> рублей. Раздел 2 формы 0503168 «Нефинансовые активы, составляющие имущество казны» отражают структуру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/>
        <w:contextualSpacing/>
      </w:pPr>
      <w:r w:rsidRPr="005D72FE">
        <w:lastRenderedPageBreak/>
        <w:t>имущества казны Криворожского сельского поселения</w:t>
      </w:r>
      <w:r w:rsidRPr="00515497">
        <w:t xml:space="preserve">. Основную долю имущества казны составляет недвижимое </w:t>
      </w:r>
      <w:r w:rsidRPr="00E562B8">
        <w:t xml:space="preserve">имущество </w:t>
      </w:r>
      <w:r w:rsidR="00691131" w:rsidRPr="00E562B8">
        <w:t>–</w:t>
      </w:r>
      <w:r w:rsidRPr="00E562B8">
        <w:t xml:space="preserve"> </w:t>
      </w:r>
      <w:r w:rsidR="00515497" w:rsidRPr="00E562B8">
        <w:t>39 729 324,9</w:t>
      </w:r>
      <w:r w:rsidR="00134861" w:rsidRPr="00E562B8">
        <w:t xml:space="preserve"> </w:t>
      </w:r>
      <w:r w:rsidRPr="00E562B8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Сведения по дебиторской и кредиторской задолженности (форма 0503169) содержит обобщенные за отчетный период данные о состоянии расчетов по кредиторской и дебиторской задолженности в разрезе видов расчетов. Приложения составлены раздельно по дебиторской и кредиторской задолженности.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В соответствии с п. 7 Инструкции №191н перед составлением годовой бюджетной отчетности проводилась инвентаризация основных средств.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При проверке плановых показателей годового отчета об исполнении бюджета достоверности и соответствию решению о бюджете Криворожского сельского поселения на 2018 год установлено следующее: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numPr>
          <w:ilvl w:val="1"/>
          <w:numId w:val="1"/>
        </w:numPr>
        <w:shd w:val="clear" w:color="auto" w:fill="auto"/>
        <w:tabs>
          <w:tab w:val="left" w:pos="1047"/>
        </w:tabs>
        <w:spacing w:before="0" w:after="0" w:line="360" w:lineRule="auto"/>
        <w:ind w:left="20" w:right="20" w:firstLine="760"/>
        <w:contextualSpacing/>
      </w:pPr>
      <w:r w:rsidRPr="005D72FE">
        <w:t xml:space="preserve">Бюджет Криворожского сельского поселения </w:t>
      </w:r>
      <w:proofErr w:type="spellStart"/>
      <w:r w:rsidRPr="005D72FE">
        <w:t>Миллеровского</w:t>
      </w:r>
      <w:proofErr w:type="spellEnd"/>
      <w:r w:rsidRPr="005D72FE">
        <w:t xml:space="preserve"> района на 20</w:t>
      </w:r>
      <w:r w:rsidR="00BD22DD">
        <w:t>2</w:t>
      </w:r>
      <w:r w:rsidR="00C74193">
        <w:t>2</w:t>
      </w:r>
      <w:r w:rsidRPr="005D72FE">
        <w:t xml:space="preserve"> год утвержден решением Собрания депутатов Криворожского сельского поселения от 2</w:t>
      </w:r>
      <w:r w:rsidR="00C74193">
        <w:t>7</w:t>
      </w:r>
      <w:r w:rsidRPr="005D72FE">
        <w:t>.12. 20</w:t>
      </w:r>
      <w:r w:rsidR="00D83044">
        <w:t>2</w:t>
      </w:r>
      <w:r w:rsidR="00C74193">
        <w:t>1</w:t>
      </w:r>
      <w:r w:rsidRPr="005D72FE">
        <w:t xml:space="preserve"> </w:t>
      </w:r>
      <w:r w:rsidR="00C74193">
        <w:t xml:space="preserve"> </w:t>
      </w:r>
      <w:r w:rsidRPr="005D72FE">
        <w:t xml:space="preserve">№ </w:t>
      </w:r>
      <w:r w:rsidR="00C74193">
        <w:t>25</w:t>
      </w:r>
      <w:r w:rsidR="00D83044">
        <w:t xml:space="preserve"> </w:t>
      </w:r>
      <w:r w:rsidRPr="005D72FE">
        <w:t xml:space="preserve"> «О бюджете Криворожского сельского поселения Миллеровского района на 20</w:t>
      </w:r>
      <w:r w:rsidR="00BD22DD">
        <w:t>2</w:t>
      </w:r>
      <w:r w:rsidR="00C74193">
        <w:t>2</w:t>
      </w:r>
      <w:r w:rsidRPr="005D72FE">
        <w:t xml:space="preserve"> год и на плановый период 20</w:t>
      </w:r>
      <w:r w:rsidR="00E60C57">
        <w:t>2</w:t>
      </w:r>
      <w:r w:rsidR="00C74193">
        <w:t>3</w:t>
      </w:r>
      <w:r w:rsidRPr="005D72FE">
        <w:t xml:space="preserve"> и 202</w:t>
      </w:r>
      <w:r w:rsidR="00C74193">
        <w:t>4</w:t>
      </w:r>
      <w:r w:rsidRPr="005D72FE">
        <w:t xml:space="preserve"> годов».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numPr>
          <w:ilvl w:val="1"/>
          <w:numId w:val="1"/>
        </w:numPr>
        <w:shd w:val="clear" w:color="auto" w:fill="auto"/>
        <w:tabs>
          <w:tab w:val="left" w:pos="1033"/>
        </w:tabs>
        <w:spacing w:before="0" w:after="0" w:line="360" w:lineRule="auto"/>
        <w:ind w:left="20" w:right="20" w:firstLine="760"/>
        <w:contextualSpacing/>
      </w:pPr>
      <w:r w:rsidRPr="005D72FE">
        <w:t>В течение года в плановые назначения по доходам и расходам бюджета Криворожского сельского поселения Миллеровского района вносились изменения. Внесенные изменения в параметры бюджета Криворожского сельского поселения Миллеровского района в течение 20</w:t>
      </w:r>
      <w:r w:rsidR="00BD22DD">
        <w:t>2</w:t>
      </w:r>
      <w:r w:rsidR="00C74193">
        <w:t>2</w:t>
      </w:r>
      <w:r w:rsidRPr="005D72FE">
        <w:t xml:space="preserve"> года не противоречат положениям Бюджетного кодекса Российской Федерации.</w:t>
      </w:r>
    </w:p>
    <w:p w:rsidR="005D72FE" w:rsidRPr="00AF2A1C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  <w:rPr>
          <w:highlight w:val="yellow"/>
        </w:rPr>
      </w:pPr>
      <w:r w:rsidRPr="005D72FE">
        <w:t xml:space="preserve">Бюджет Криворожского сельского поселения </w:t>
      </w:r>
      <w:proofErr w:type="spellStart"/>
      <w:r w:rsidRPr="005D72FE">
        <w:t>Миллеровского</w:t>
      </w:r>
      <w:proofErr w:type="spellEnd"/>
      <w:r w:rsidRPr="005D72FE">
        <w:t xml:space="preserve"> района за 20</w:t>
      </w:r>
      <w:r w:rsidR="00BD22DD">
        <w:t>2</w:t>
      </w:r>
      <w:r w:rsidR="00C74193">
        <w:t>2</w:t>
      </w:r>
      <w:r w:rsidRPr="005D72FE">
        <w:t xml:space="preserve"> год по доходам исполнен к уточненному плану на </w:t>
      </w:r>
      <w:r w:rsidR="00C74193">
        <w:t>102,5</w:t>
      </w:r>
      <w:r w:rsidRPr="005D72FE">
        <w:t xml:space="preserve"> %. При плане </w:t>
      </w:r>
      <w:r w:rsidR="00C74193">
        <w:t>19 975 700,00</w:t>
      </w:r>
      <w:r w:rsidRPr="005D72FE">
        <w:t xml:space="preserve"> рублей фактически поступило доходов с учетом безвозмездных перечислений от бюджетов других </w:t>
      </w:r>
      <w:r w:rsidRPr="00AF2A1C">
        <w:t xml:space="preserve">уровней </w:t>
      </w:r>
      <w:r w:rsidR="00C74193">
        <w:t>20 482 764,2</w:t>
      </w:r>
      <w:r w:rsidR="00AF2A1C" w:rsidRPr="00AF2A1C">
        <w:t xml:space="preserve"> </w:t>
      </w:r>
      <w:r w:rsidRPr="00AF2A1C">
        <w:t xml:space="preserve"> рублей.</w:t>
      </w:r>
    </w:p>
    <w:p w:rsidR="005D72FE" w:rsidRPr="00AF2A1C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AF2A1C">
        <w:t xml:space="preserve">От бюджетов других уровней в бюджет поселения поступило </w:t>
      </w:r>
      <w:r w:rsidR="00C74193">
        <w:t>4 973 800,00</w:t>
      </w:r>
      <w:r w:rsidR="00AF2A1C" w:rsidRPr="00AF2A1C">
        <w:t xml:space="preserve"> </w:t>
      </w:r>
      <w:r w:rsidRPr="00AF2A1C">
        <w:t xml:space="preserve"> рублей при плане </w:t>
      </w:r>
      <w:r w:rsidR="00C74193">
        <w:t>4 973 800,00</w:t>
      </w:r>
      <w:r w:rsidRPr="00AF2A1C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AF2A1C">
        <w:t>По налоговым и неналоговым</w:t>
      </w:r>
      <w:r w:rsidRPr="005D72FE">
        <w:t xml:space="preserve"> доходам плановые назначения выполнены на </w:t>
      </w:r>
      <w:r w:rsidR="00C74193">
        <w:t>103,4</w:t>
      </w:r>
      <w:r w:rsidRPr="005D72FE">
        <w:t xml:space="preserve"> % при плане </w:t>
      </w:r>
      <w:r w:rsidR="00C74193">
        <w:t>15 001 900,00</w:t>
      </w:r>
      <w:r w:rsidRPr="005D72FE">
        <w:t xml:space="preserve"> рублей поступило фактически доходов </w:t>
      </w:r>
      <w:r w:rsidR="00C74193">
        <w:t>15 508 964,20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380"/>
        <w:contextualSpacing/>
      </w:pPr>
      <w:r w:rsidRPr="00E9483A">
        <w:t xml:space="preserve">Бюджетные назначения расходов исполнены на </w:t>
      </w:r>
      <w:r w:rsidR="00C74193">
        <w:t>89,9</w:t>
      </w:r>
      <w:r w:rsidRPr="00E9483A">
        <w:t xml:space="preserve"> %, план составляет </w:t>
      </w:r>
      <w:r w:rsidR="00C74193">
        <w:t>20 239 600,00</w:t>
      </w:r>
      <w:r w:rsidRPr="00E9483A">
        <w:t xml:space="preserve"> рублей, фактически профинансировано </w:t>
      </w:r>
      <w:r w:rsidR="00C74193">
        <w:t>18 199 712,10</w:t>
      </w:r>
      <w:r w:rsidR="00AF2A1C" w:rsidRPr="00E9483A">
        <w:t xml:space="preserve"> рублей.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5D72F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820"/>
        <w:contextualSpacing/>
      </w:pPr>
      <w:r w:rsidRPr="005D72FE">
        <w:t xml:space="preserve">По разделу 0100 «Общегосударственные вопросы» исполнены в сумме </w:t>
      </w:r>
      <w:r>
        <w:t>7 684 237,28</w:t>
      </w:r>
      <w:r w:rsidRPr="005D72FE">
        <w:t xml:space="preserve"> рублей, при плане </w:t>
      </w:r>
      <w:r>
        <w:t>9 460 850,00</w:t>
      </w:r>
      <w:r w:rsidRPr="005D72FE">
        <w:t xml:space="preserve"> рублей или </w:t>
      </w:r>
      <w:r>
        <w:t xml:space="preserve">81,3 </w:t>
      </w:r>
      <w:r w:rsidRPr="005D72FE">
        <w:t>%.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820"/>
        <w:contextualSpacing/>
      </w:pPr>
      <w:r w:rsidRPr="005D72FE">
        <w:t xml:space="preserve">По разделу 0200 «Национальная оборона» исполнение расходов составляет </w:t>
      </w:r>
      <w:r>
        <w:t>255 400,00</w:t>
      </w:r>
      <w:r w:rsidRPr="005D72FE">
        <w:t xml:space="preserve"> рублей или 100 %.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bookmarkStart w:id="5" w:name="bookmark5"/>
      <w:r w:rsidRPr="00E9483A">
        <w:t xml:space="preserve">По разделу Национальная безопасность и правоохранительная деятельность» исполнено </w:t>
      </w:r>
      <w:r>
        <w:t>10 000,00</w:t>
      </w:r>
      <w:r w:rsidRPr="00E9483A">
        <w:t xml:space="preserve"> рублей при плане 11 </w:t>
      </w:r>
      <w:r>
        <w:t>5</w:t>
      </w:r>
      <w:r w:rsidRPr="00E9483A">
        <w:t xml:space="preserve">00,00 рублей или </w:t>
      </w:r>
      <w:r>
        <w:t>87,0</w:t>
      </w:r>
      <w:r w:rsidRPr="00E9483A">
        <w:t xml:space="preserve"> %;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r>
        <w:t>По разделу  «Национальная экономика» исполнено 144 099,00 рублей при плане 170 000,00 рублей или 84,8 %;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640"/>
      </w:pPr>
      <w:r>
        <w:t>По разделу «Жилищно-коммунальное хозяйство» - 96,0% (план 13 474 000,05 888 578,870 рублей, исполнено 5 655 519,17 рублей.);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640"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r>
        <w:t>По разделу «Образование» исполнено 9  000,00 рублей при плане  9 000,00 рублей или 100,0 %.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320"/>
        <w:contextualSpacing/>
      </w:pPr>
      <w:r>
        <w:t>По разделу «Культура и кинематография исполнено</w:t>
      </w:r>
      <w:proofErr w:type="gramStart"/>
      <w:r>
        <w:t>4</w:t>
      </w:r>
      <w:proofErr w:type="gramEnd"/>
      <w:r>
        <w:t> 125 405,29 рублей при плане 4 128 171,13 рублей или 99,9%.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320"/>
      </w:pPr>
      <w:r>
        <w:t>По разделу «Социальная политика» исполнено 316 051,36 рублей при плане 316 100,00 рублей или 100 %.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320"/>
        <w:contextualSpacing/>
      </w:pPr>
      <w:r w:rsidRPr="005D72FE">
        <w:t>Выводы и предложения:</w:t>
      </w:r>
      <w:bookmarkEnd w:id="5"/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numPr>
          <w:ilvl w:val="2"/>
          <w:numId w:val="1"/>
        </w:numPr>
        <w:shd w:val="clear" w:color="auto" w:fill="auto"/>
        <w:tabs>
          <w:tab w:val="left" w:pos="1470"/>
        </w:tabs>
        <w:spacing w:before="0" w:after="0" w:line="360" w:lineRule="auto"/>
        <w:ind w:left="40" w:right="20" w:firstLine="820"/>
        <w:contextualSpacing/>
      </w:pPr>
      <w:r w:rsidRPr="005D72FE">
        <w:t>Годовая бюджетная отчетность взаимоувязана, не содержит искажений, сдана в срок. Состав годовой отчетности соответствует требованиям приказа Министерства финансов Российской Федерации от 28 декабря 2010 года № 191н.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numPr>
          <w:ilvl w:val="2"/>
          <w:numId w:val="1"/>
        </w:numPr>
        <w:shd w:val="clear" w:color="auto" w:fill="auto"/>
        <w:tabs>
          <w:tab w:val="left" w:pos="1297"/>
        </w:tabs>
        <w:spacing w:before="0" w:after="0" w:line="360" w:lineRule="auto"/>
        <w:ind w:left="40" w:firstLine="820"/>
        <w:contextualSpacing/>
      </w:pPr>
      <w:r w:rsidRPr="005D72FE">
        <w:t>Комиссия по экономической реформе, бюджету, налогам и</w:t>
      </w:r>
      <w:r>
        <w:t xml:space="preserve"> </w:t>
      </w:r>
      <w:r w:rsidRPr="005D72FE">
        <w:t>муниципальной собственности Криворожского сельского поселения, считает</w:t>
      </w:r>
      <w:r>
        <w:t xml:space="preserve"> возможным рекомендовать </w:t>
      </w:r>
      <w:r w:rsidRPr="005D72FE">
        <w:t>Собранию депутатов Криворожского сельского</w:t>
      </w:r>
      <w:r>
        <w:t xml:space="preserve"> </w:t>
      </w:r>
      <w:r w:rsidRPr="005D72FE">
        <w:t>поселения утвердить отчет и принять решение «Об утверждении отчета об</w:t>
      </w:r>
      <w:r>
        <w:t xml:space="preserve"> </w:t>
      </w:r>
      <w:r w:rsidRPr="005D72FE">
        <w:t>исполнении бюджета Криворожского сельского поселения за 20</w:t>
      </w:r>
      <w:r>
        <w:t>22</w:t>
      </w:r>
      <w:r w:rsidRPr="005D72FE">
        <w:t xml:space="preserve"> год».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/>
        <w:contextualSpacing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/>
        <w:contextualSpacing/>
      </w:pPr>
      <w:r w:rsidRPr="005D72FE">
        <w:t xml:space="preserve">Председатель комиссии </w:t>
      </w:r>
      <w:proofErr w:type="gramStart"/>
      <w:r w:rsidRPr="005D72FE">
        <w:t>по</w:t>
      </w:r>
      <w:proofErr w:type="gramEnd"/>
      <w:r w:rsidRPr="005D72FE">
        <w:t xml:space="preserve"> экономической 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/>
        <w:contextualSpacing/>
      </w:pPr>
      <w:r w:rsidRPr="005D72FE">
        <w:t>реформе, бюд</w:t>
      </w:r>
      <w:r>
        <w:t>жету, налогам и муниципальной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  <w:jc w:val="left"/>
      </w:pPr>
      <w:r w:rsidRPr="005D72FE">
        <w:t>собственности.</w:t>
      </w:r>
      <w:r w:rsidRPr="005D72FE">
        <w:tab/>
      </w:r>
      <w:r>
        <w:t>Ю.В. Клоков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  <w:jc w:val="left"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36" w:lineRule="exact"/>
        <w:ind w:left="40"/>
        <w:jc w:val="left"/>
      </w:pPr>
    </w:p>
    <w:p w:rsidR="00497C63" w:rsidRPr="005D72FE" w:rsidRDefault="00497C63">
      <w:pPr>
        <w:rPr>
          <w:rFonts w:ascii="Times New Roman" w:hAnsi="Times New Roman" w:cs="Times New Roman"/>
        </w:rPr>
      </w:pPr>
    </w:p>
    <w:sectPr w:rsidR="00497C63" w:rsidRPr="005D72FE" w:rsidSect="00D2343D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72FE"/>
    <w:rsid w:val="000F0B41"/>
    <w:rsid w:val="00134861"/>
    <w:rsid w:val="001F6F9D"/>
    <w:rsid w:val="0028034D"/>
    <w:rsid w:val="00291DAE"/>
    <w:rsid w:val="002E3127"/>
    <w:rsid w:val="00387F72"/>
    <w:rsid w:val="00404335"/>
    <w:rsid w:val="004430F0"/>
    <w:rsid w:val="00497C63"/>
    <w:rsid w:val="00515497"/>
    <w:rsid w:val="005B1752"/>
    <w:rsid w:val="005B5BA6"/>
    <w:rsid w:val="005D72FE"/>
    <w:rsid w:val="00655463"/>
    <w:rsid w:val="00691131"/>
    <w:rsid w:val="007277F8"/>
    <w:rsid w:val="00755CE0"/>
    <w:rsid w:val="007E7B63"/>
    <w:rsid w:val="00852098"/>
    <w:rsid w:val="009037A5"/>
    <w:rsid w:val="00A11CBF"/>
    <w:rsid w:val="00AE2BDD"/>
    <w:rsid w:val="00AF2A1C"/>
    <w:rsid w:val="00B173ED"/>
    <w:rsid w:val="00B4598C"/>
    <w:rsid w:val="00B642AE"/>
    <w:rsid w:val="00BD22DD"/>
    <w:rsid w:val="00C74193"/>
    <w:rsid w:val="00C849BF"/>
    <w:rsid w:val="00CF7943"/>
    <w:rsid w:val="00D16AC6"/>
    <w:rsid w:val="00D2343D"/>
    <w:rsid w:val="00D67387"/>
    <w:rsid w:val="00D83044"/>
    <w:rsid w:val="00E14F61"/>
    <w:rsid w:val="00E256AB"/>
    <w:rsid w:val="00E562B8"/>
    <w:rsid w:val="00E60C57"/>
    <w:rsid w:val="00E831C9"/>
    <w:rsid w:val="00E9483A"/>
    <w:rsid w:val="00ED5050"/>
    <w:rsid w:val="00F9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F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5D72FE"/>
    <w:rPr>
      <w:rFonts w:ascii="Times New Roman" w:hAnsi="Times New Roman" w:cs="Times New Roman"/>
      <w:b/>
      <w:bCs/>
      <w:spacing w:val="8"/>
      <w:sz w:val="24"/>
      <w:szCs w:val="24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5D72FE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 + Полужирный"/>
    <w:aliases w:val="Курсив"/>
    <w:basedOn w:val="1"/>
    <w:uiPriority w:val="99"/>
    <w:rsid w:val="005D72FE"/>
    <w:rPr>
      <w:b/>
      <w:bCs/>
      <w:i/>
      <w:iCs/>
      <w:spacing w:val="-3"/>
    </w:rPr>
  </w:style>
  <w:style w:type="character" w:customStyle="1" w:styleId="22">
    <w:name w:val="Заголовок №2 (2)_"/>
    <w:basedOn w:val="a0"/>
    <w:link w:val="220"/>
    <w:uiPriority w:val="99"/>
    <w:rsid w:val="005D72FE"/>
    <w:rPr>
      <w:rFonts w:ascii="Times New Roman" w:hAnsi="Times New Roman" w:cs="Times New Roman"/>
      <w:b/>
      <w:bCs/>
      <w:i/>
      <w:iCs/>
      <w:spacing w:val="-3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1"/>
    <w:uiPriority w:val="99"/>
    <w:rsid w:val="005D72FE"/>
    <w:rPr>
      <w:spacing w:val="31"/>
    </w:rPr>
  </w:style>
  <w:style w:type="character" w:customStyle="1" w:styleId="a5">
    <w:name w:val="Колонтитул_"/>
    <w:basedOn w:val="a0"/>
    <w:link w:val="10"/>
    <w:uiPriority w:val="99"/>
    <w:rsid w:val="005D72FE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6">
    <w:name w:val="Колонтитул"/>
    <w:basedOn w:val="a5"/>
    <w:uiPriority w:val="99"/>
    <w:rsid w:val="005D72FE"/>
  </w:style>
  <w:style w:type="character" w:customStyle="1" w:styleId="11">
    <w:name w:val="Заголовок №1_"/>
    <w:basedOn w:val="a0"/>
    <w:link w:val="12"/>
    <w:uiPriority w:val="99"/>
    <w:rsid w:val="005D72FE"/>
    <w:rPr>
      <w:rFonts w:ascii="Times New Roman" w:hAnsi="Times New Roman" w:cs="Times New Roman"/>
      <w:b/>
      <w:bCs/>
      <w:i/>
      <w:iCs/>
      <w:sz w:val="29"/>
      <w:szCs w:val="29"/>
      <w:shd w:val="clear" w:color="auto" w:fill="FFFFFF"/>
    </w:rPr>
  </w:style>
  <w:style w:type="paragraph" w:styleId="a3">
    <w:name w:val="Body Text"/>
    <w:basedOn w:val="a"/>
    <w:link w:val="1"/>
    <w:uiPriority w:val="99"/>
    <w:rsid w:val="005D72FE"/>
    <w:pPr>
      <w:shd w:val="clear" w:color="auto" w:fill="FFFFFF"/>
      <w:spacing w:before="300" w:after="540" w:line="240" w:lineRule="atLeast"/>
      <w:jc w:val="both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character" w:customStyle="1" w:styleId="a7">
    <w:name w:val="Основной текст Знак"/>
    <w:basedOn w:val="a0"/>
    <w:link w:val="a3"/>
    <w:uiPriority w:val="99"/>
    <w:semiHidden/>
    <w:rsid w:val="005D72F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5D72FE"/>
    <w:pPr>
      <w:shd w:val="clear" w:color="auto" w:fill="FFFFFF"/>
      <w:spacing w:line="31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pacing w:val="8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5D72FE"/>
    <w:pPr>
      <w:shd w:val="clear" w:color="auto" w:fill="FFFFFF"/>
      <w:spacing w:line="480" w:lineRule="exact"/>
      <w:ind w:firstLine="720"/>
      <w:jc w:val="both"/>
      <w:outlineLvl w:val="1"/>
    </w:pPr>
    <w:rPr>
      <w:rFonts w:ascii="Times New Roman" w:eastAsiaTheme="minorHAnsi" w:hAnsi="Times New Roman" w:cs="Times New Roman"/>
      <w:b/>
      <w:bCs/>
      <w:i/>
      <w:iCs/>
      <w:color w:val="auto"/>
      <w:spacing w:val="-3"/>
      <w:sz w:val="25"/>
      <w:szCs w:val="25"/>
      <w:lang w:eastAsia="en-US"/>
    </w:rPr>
  </w:style>
  <w:style w:type="paragraph" w:customStyle="1" w:styleId="10">
    <w:name w:val="Колонтитул1"/>
    <w:basedOn w:val="a"/>
    <w:link w:val="a5"/>
    <w:uiPriority w:val="99"/>
    <w:rsid w:val="005D72FE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2">
    <w:name w:val="Заголовок №1"/>
    <w:basedOn w:val="a"/>
    <w:link w:val="11"/>
    <w:uiPriority w:val="99"/>
    <w:rsid w:val="005D72FE"/>
    <w:pPr>
      <w:shd w:val="clear" w:color="auto" w:fill="FFFFFF"/>
      <w:spacing w:after="240" w:line="240" w:lineRule="atLeast"/>
      <w:ind w:firstLine="820"/>
      <w:jc w:val="both"/>
      <w:outlineLvl w:val="0"/>
    </w:pPr>
    <w:rPr>
      <w:rFonts w:ascii="Times New Roman" w:eastAsiaTheme="minorHAnsi" w:hAnsi="Times New Roman" w:cs="Times New Roman"/>
      <w:b/>
      <w:bCs/>
      <w:i/>
      <w:iCs/>
      <w:color w:val="auto"/>
      <w:sz w:val="29"/>
      <w:szCs w:val="2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</dc:creator>
  <cp:lastModifiedBy>Пользователь</cp:lastModifiedBy>
  <cp:revision>21</cp:revision>
  <cp:lastPrinted>2022-04-13T06:24:00Z</cp:lastPrinted>
  <dcterms:created xsi:type="dcterms:W3CDTF">2020-04-13T06:48:00Z</dcterms:created>
  <dcterms:modified xsi:type="dcterms:W3CDTF">2023-04-14T11:21:00Z</dcterms:modified>
</cp:coreProperties>
</file>