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D6" w:rsidRPr="00957FB7" w:rsidRDefault="001F41D6" w:rsidP="001F41D6">
      <w:pPr>
        <w:jc w:val="center"/>
        <w:rPr>
          <w:b/>
          <w:sz w:val="28"/>
        </w:rPr>
      </w:pPr>
      <w:r w:rsidRPr="00957FB7">
        <w:rPr>
          <w:b/>
          <w:sz w:val="28"/>
        </w:rPr>
        <w:t>РОСТОВСКАЯ ОБЛАСТЬ</w:t>
      </w:r>
    </w:p>
    <w:p w:rsidR="001F41D6" w:rsidRPr="00957FB7" w:rsidRDefault="001F41D6" w:rsidP="001F41D6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1F41D6" w:rsidRPr="00957FB7" w:rsidRDefault="001F41D6" w:rsidP="001F41D6">
      <w:pPr>
        <w:jc w:val="center"/>
        <w:rPr>
          <w:b/>
          <w:sz w:val="28"/>
        </w:rPr>
      </w:pPr>
      <w:r>
        <w:rPr>
          <w:b/>
          <w:sz w:val="28"/>
        </w:rPr>
        <w:t xml:space="preserve">Криворожского </w:t>
      </w:r>
      <w:r w:rsidRPr="00957FB7">
        <w:rPr>
          <w:b/>
          <w:sz w:val="28"/>
        </w:rPr>
        <w:t>сельского поселения</w:t>
      </w:r>
    </w:p>
    <w:p w:rsidR="001F41D6" w:rsidRPr="00957FB7" w:rsidRDefault="001F41D6" w:rsidP="001F41D6">
      <w:pPr>
        <w:pStyle w:val="ConsPlusTitle"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1F41D6" w:rsidRDefault="001F41D6" w:rsidP="001F41D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F41D6" w:rsidRDefault="001F41D6" w:rsidP="001F41D6">
      <w:pPr>
        <w:pStyle w:val="ConsPlusTitle"/>
        <w:rPr>
          <w:rFonts w:ascii="Times New Roman" w:hAnsi="Times New Roman"/>
          <w:sz w:val="28"/>
        </w:rPr>
      </w:pPr>
    </w:p>
    <w:p w:rsidR="001F41D6" w:rsidRPr="00957FB7" w:rsidRDefault="001F41D6" w:rsidP="001F41D6">
      <w:pPr>
        <w:pStyle w:val="ConsPlusTitle"/>
        <w:rPr>
          <w:rFonts w:ascii="Times New Roman" w:hAnsi="Times New Roman"/>
          <w:sz w:val="28"/>
          <w:szCs w:val="28"/>
        </w:rPr>
      </w:pPr>
    </w:p>
    <w:p w:rsidR="008C60BE" w:rsidRDefault="008C60BE" w:rsidP="008C60BE">
      <w:pPr>
        <w:pStyle w:val="ConsPlusTitle"/>
        <w:tabs>
          <w:tab w:val="left" w:pos="904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 июля  2020 года                        сл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риворожье                                       №  207</w:t>
      </w:r>
    </w:p>
    <w:p w:rsidR="008C60BE" w:rsidRDefault="008C60BE" w:rsidP="008C60BE">
      <w:pPr>
        <w:pStyle w:val="ConsPlusTitle"/>
        <w:rPr>
          <w:rFonts w:ascii="Times New Roman" w:hAnsi="Times New Roman"/>
          <w:sz w:val="28"/>
          <w:szCs w:val="28"/>
        </w:rPr>
      </w:pPr>
    </w:p>
    <w:p w:rsidR="008C60BE" w:rsidRPr="00957FB7" w:rsidRDefault="008C60BE" w:rsidP="008C60BE">
      <w:pPr>
        <w:pStyle w:val="ConsPlusTitle"/>
        <w:rPr>
          <w:rFonts w:ascii="Times New Roman" w:hAnsi="Times New Roman"/>
          <w:sz w:val="28"/>
          <w:szCs w:val="28"/>
        </w:rPr>
      </w:pPr>
    </w:p>
    <w:p w:rsidR="008C60BE" w:rsidRDefault="008C60BE" w:rsidP="008C60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эффективности</w:t>
      </w:r>
    </w:p>
    <w:p w:rsidR="008C60BE" w:rsidRDefault="008C60BE" w:rsidP="008C60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налоговых льгот (налоговых расходов)</w:t>
      </w:r>
    </w:p>
    <w:p w:rsidR="008C60BE" w:rsidRPr="00D93149" w:rsidRDefault="008C60BE" w:rsidP="008C60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 сельского поселения за 2019 год</w:t>
      </w:r>
    </w:p>
    <w:p w:rsidR="008C60BE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60BE" w:rsidRPr="00957FB7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57FB7">
        <w:rPr>
          <w:color w:val="000000"/>
          <w:sz w:val="28"/>
          <w:szCs w:val="28"/>
        </w:rPr>
        <w:t xml:space="preserve">       </w:t>
      </w:r>
    </w:p>
    <w:p w:rsidR="008C60BE" w:rsidRPr="006A090D" w:rsidRDefault="008C60BE" w:rsidP="008C60BE">
      <w:pPr>
        <w:ind w:firstLine="709"/>
        <w:jc w:val="both"/>
        <w:rPr>
          <w:color w:val="000000"/>
          <w:sz w:val="28"/>
          <w:szCs w:val="28"/>
        </w:rPr>
      </w:pPr>
      <w:r w:rsidRPr="00D95E02">
        <w:rPr>
          <w:sz w:val="28"/>
        </w:rPr>
        <w:t xml:space="preserve">В целях выполнения постановления Администрации </w:t>
      </w:r>
      <w:r>
        <w:rPr>
          <w:sz w:val="28"/>
        </w:rPr>
        <w:t>Криворожского</w:t>
      </w:r>
      <w:r w:rsidRPr="00D95E02">
        <w:rPr>
          <w:sz w:val="28"/>
        </w:rPr>
        <w:t xml:space="preserve"> сельского поселения от </w:t>
      </w:r>
      <w:r w:rsidRPr="008C60BE">
        <w:rPr>
          <w:sz w:val="28"/>
        </w:rPr>
        <w:t>31.10.2017 № 107</w:t>
      </w:r>
      <w:r w:rsidRPr="00D95E02">
        <w:rPr>
          <w:sz w:val="28"/>
        </w:rPr>
        <w:t xml:space="preserve"> «О Порядке оценки эффективности налоговых льгот, установленных решениями Собрания депутатов </w:t>
      </w:r>
      <w:r>
        <w:rPr>
          <w:sz w:val="28"/>
        </w:rPr>
        <w:t>Криворожского</w:t>
      </w:r>
      <w:r w:rsidRPr="00D95E02">
        <w:rPr>
          <w:sz w:val="28"/>
        </w:rPr>
        <w:t xml:space="preserve"> сельского поселения»</w:t>
      </w:r>
      <w:r>
        <w:rPr>
          <w:sz w:val="28"/>
        </w:rPr>
        <w:t xml:space="preserve"> и Соглашения</w:t>
      </w:r>
      <w:r w:rsidRPr="00D95E02">
        <w:rPr>
          <w:sz w:val="28"/>
        </w:rPr>
        <w:t xml:space="preserve"> </w:t>
      </w:r>
      <w:r w:rsidRPr="006A090D">
        <w:rPr>
          <w:color w:val="000000"/>
          <w:sz w:val="28"/>
          <w:szCs w:val="28"/>
        </w:rPr>
        <w:t>о предоставлении дотации на</w:t>
      </w:r>
      <w:r>
        <w:rPr>
          <w:color w:val="000000"/>
          <w:sz w:val="28"/>
          <w:szCs w:val="28"/>
        </w:rPr>
        <w:t xml:space="preserve"> </w:t>
      </w:r>
      <w:r w:rsidRPr="006A090D">
        <w:rPr>
          <w:color w:val="000000"/>
          <w:sz w:val="28"/>
          <w:szCs w:val="28"/>
        </w:rPr>
        <w:t xml:space="preserve">выравнивание бюджетной </w:t>
      </w:r>
      <w:r>
        <w:rPr>
          <w:color w:val="000000"/>
          <w:sz w:val="28"/>
          <w:szCs w:val="28"/>
        </w:rPr>
        <w:t>о</w:t>
      </w:r>
      <w:r w:rsidRPr="006A090D">
        <w:rPr>
          <w:color w:val="000000"/>
          <w:sz w:val="28"/>
          <w:szCs w:val="28"/>
        </w:rPr>
        <w:t>беспеченности поселений из областного бюджета</w:t>
      </w:r>
      <w:r>
        <w:rPr>
          <w:color w:val="000000"/>
          <w:sz w:val="28"/>
          <w:szCs w:val="28"/>
        </w:rPr>
        <w:t>, Собрание депутатов Криворожского сельского поселения</w:t>
      </w:r>
    </w:p>
    <w:p w:rsidR="008C60BE" w:rsidRPr="006A090D" w:rsidRDefault="008C60BE" w:rsidP="008C60B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 w:rsidRPr="00957FB7">
        <w:rPr>
          <w:rFonts w:ascii="Times New Roman" w:hAnsi="Times New Roman" w:cs="Times New Roman"/>
          <w:sz w:val="28"/>
        </w:rPr>
        <w:t>РЕШИЛО:</w:t>
      </w: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C60BE" w:rsidRDefault="008C60BE" w:rsidP="008C60B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результаты оценки эффективности налоговых льгот (налоговых расходов) Криворожского сельского поселения за 2019 год согласно приложению к настоящему решению.</w:t>
      </w:r>
    </w:p>
    <w:p w:rsidR="008C60BE" w:rsidRPr="00B845CF" w:rsidRDefault="008C60BE" w:rsidP="008C60B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Администрации Криворожского сельского поселения разместить результаты оценки эффективности налоговых </w:t>
      </w:r>
      <w:r>
        <w:rPr>
          <w:rFonts w:ascii="Times New Roman" w:hAnsi="Times New Roman" w:cs="Times New Roman"/>
          <w:sz w:val="28"/>
        </w:rPr>
        <w:t xml:space="preserve">льгот (налоговых расходов) </w:t>
      </w:r>
      <w:r>
        <w:rPr>
          <w:rFonts w:ascii="Times New Roman" w:hAnsi="Times New Roman"/>
          <w:sz w:val="28"/>
        </w:rPr>
        <w:t>Криворожского сельского поселения за 2019 год на официальном сайте Администрации Криворожского сельского поселения в сети Интернет.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 </w:t>
      </w:r>
    </w:p>
    <w:p w:rsidR="008C60BE" w:rsidRDefault="008C60BE" w:rsidP="008C60BE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41D6" w:rsidRPr="00866C3F" w:rsidRDefault="001F41D6" w:rsidP="001F41D6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</w:p>
    <w:p w:rsidR="001F41D6" w:rsidRPr="00BF01CC" w:rsidRDefault="001F41D6" w:rsidP="001F41D6">
      <w:pPr>
        <w:rPr>
          <w:sz w:val="28"/>
          <w:szCs w:val="28"/>
        </w:rPr>
      </w:pPr>
      <w:r w:rsidRPr="00BF01CC">
        <w:rPr>
          <w:sz w:val="28"/>
          <w:szCs w:val="28"/>
        </w:rPr>
        <w:t xml:space="preserve">Председатель Собрания депутатов – глава </w:t>
      </w:r>
    </w:p>
    <w:p w:rsidR="001F41D6" w:rsidRPr="00957FB7" w:rsidRDefault="001F41D6" w:rsidP="001F41D6">
      <w:r>
        <w:rPr>
          <w:sz w:val="28"/>
          <w:szCs w:val="28"/>
        </w:rPr>
        <w:t>Криворожского</w:t>
      </w:r>
      <w:r w:rsidRPr="00BF01CC">
        <w:rPr>
          <w:sz w:val="28"/>
          <w:szCs w:val="28"/>
        </w:rPr>
        <w:t xml:space="preserve"> сельского поселения                         </w:t>
      </w:r>
      <w:r>
        <w:rPr>
          <w:sz w:val="28"/>
          <w:szCs w:val="28"/>
        </w:rPr>
        <w:t xml:space="preserve">                     В</w:t>
      </w:r>
      <w:r w:rsidRPr="00BF01CC">
        <w:rPr>
          <w:sz w:val="28"/>
          <w:szCs w:val="28"/>
        </w:rPr>
        <w:t xml:space="preserve">.И. </w:t>
      </w:r>
      <w:r>
        <w:rPr>
          <w:sz w:val="28"/>
          <w:szCs w:val="28"/>
        </w:rPr>
        <w:t>Семыкин</w:t>
      </w:r>
    </w:p>
    <w:p w:rsidR="001F41D6" w:rsidRPr="00957FB7" w:rsidRDefault="001F41D6" w:rsidP="001F41D6">
      <w:pPr>
        <w:jc w:val="both"/>
        <w:rPr>
          <w:sz w:val="28"/>
          <w:szCs w:val="28"/>
        </w:rPr>
      </w:pPr>
    </w:p>
    <w:p w:rsidR="001F41D6" w:rsidRPr="00957FB7" w:rsidRDefault="001F41D6" w:rsidP="001F41D6">
      <w:pPr>
        <w:jc w:val="both"/>
        <w:rPr>
          <w:sz w:val="28"/>
          <w:szCs w:val="28"/>
        </w:rPr>
      </w:pPr>
    </w:p>
    <w:p w:rsidR="001F41D6" w:rsidRPr="00957FB7" w:rsidRDefault="001F41D6" w:rsidP="001F41D6">
      <w:pPr>
        <w:jc w:val="both"/>
        <w:rPr>
          <w:sz w:val="28"/>
          <w:szCs w:val="28"/>
        </w:rPr>
      </w:pPr>
    </w:p>
    <w:p w:rsidR="001F41D6" w:rsidRPr="00957FB7" w:rsidRDefault="001F41D6" w:rsidP="001F41D6">
      <w:pPr>
        <w:jc w:val="both"/>
        <w:rPr>
          <w:sz w:val="28"/>
          <w:szCs w:val="28"/>
        </w:rPr>
      </w:pPr>
    </w:p>
    <w:p w:rsidR="001F41D6" w:rsidRPr="00957FB7" w:rsidRDefault="001F41D6" w:rsidP="001F41D6">
      <w:pPr>
        <w:jc w:val="both"/>
        <w:rPr>
          <w:sz w:val="28"/>
          <w:szCs w:val="28"/>
        </w:rPr>
      </w:pPr>
    </w:p>
    <w:p w:rsidR="001F41D6" w:rsidRPr="00957FB7" w:rsidRDefault="001F41D6" w:rsidP="001F41D6">
      <w:pPr>
        <w:jc w:val="both"/>
        <w:rPr>
          <w:sz w:val="28"/>
          <w:szCs w:val="28"/>
        </w:rPr>
      </w:pPr>
    </w:p>
    <w:p w:rsidR="001F41D6" w:rsidRPr="00957FB7" w:rsidRDefault="001F41D6" w:rsidP="001F41D6">
      <w:pPr>
        <w:jc w:val="both"/>
        <w:rPr>
          <w:sz w:val="28"/>
          <w:szCs w:val="28"/>
        </w:rPr>
      </w:pPr>
    </w:p>
    <w:p w:rsidR="001F41D6" w:rsidRDefault="001F41D6" w:rsidP="001F41D6">
      <w:pPr>
        <w:jc w:val="right"/>
        <w:rPr>
          <w:sz w:val="28"/>
          <w:szCs w:val="28"/>
        </w:rPr>
      </w:pPr>
    </w:p>
    <w:p w:rsidR="001F41D6" w:rsidRDefault="001F41D6" w:rsidP="001F41D6">
      <w:pPr>
        <w:jc w:val="right"/>
        <w:rPr>
          <w:sz w:val="28"/>
          <w:szCs w:val="28"/>
        </w:rPr>
      </w:pPr>
    </w:p>
    <w:p w:rsidR="001F41D6" w:rsidRDefault="001F41D6" w:rsidP="001F41D6">
      <w:pPr>
        <w:jc w:val="right"/>
        <w:rPr>
          <w:sz w:val="28"/>
          <w:szCs w:val="28"/>
        </w:rPr>
      </w:pPr>
    </w:p>
    <w:p w:rsidR="008C60BE" w:rsidRDefault="008C60BE" w:rsidP="001F41D6">
      <w:pPr>
        <w:jc w:val="right"/>
        <w:rPr>
          <w:sz w:val="28"/>
          <w:szCs w:val="28"/>
        </w:rPr>
      </w:pP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 сельского поселения</w:t>
      </w:r>
    </w:p>
    <w:p w:rsidR="008C60BE" w:rsidRPr="000A3620" w:rsidRDefault="008C60BE" w:rsidP="008C60BE">
      <w:pPr>
        <w:pStyle w:val="1"/>
        <w:spacing w:line="235" w:lineRule="auto"/>
        <w:jc w:val="right"/>
        <w:rPr>
          <w:b w:val="0"/>
          <w:szCs w:val="28"/>
        </w:rPr>
      </w:pPr>
      <w:r w:rsidRPr="000A3620">
        <w:rPr>
          <w:b w:val="0"/>
          <w:szCs w:val="28"/>
        </w:rPr>
        <w:t xml:space="preserve">от </w:t>
      </w:r>
      <w:r>
        <w:rPr>
          <w:b w:val="0"/>
          <w:szCs w:val="28"/>
        </w:rPr>
        <w:t>30</w:t>
      </w:r>
      <w:r w:rsidRPr="000A3620">
        <w:rPr>
          <w:b w:val="0"/>
          <w:szCs w:val="28"/>
        </w:rPr>
        <w:t>.07.20</w:t>
      </w:r>
      <w:r>
        <w:rPr>
          <w:b w:val="0"/>
          <w:szCs w:val="28"/>
        </w:rPr>
        <w:t>20</w:t>
      </w:r>
      <w:r w:rsidRPr="000A3620">
        <w:rPr>
          <w:b w:val="0"/>
          <w:szCs w:val="28"/>
        </w:rPr>
        <w:t xml:space="preserve"> г. №</w:t>
      </w:r>
      <w:r>
        <w:rPr>
          <w:b w:val="0"/>
          <w:szCs w:val="28"/>
        </w:rPr>
        <w:t xml:space="preserve"> 207</w:t>
      </w:r>
    </w:p>
    <w:p w:rsidR="008C60BE" w:rsidRDefault="008C60BE" w:rsidP="008C60BE">
      <w:pPr>
        <w:pStyle w:val="1"/>
        <w:spacing w:line="235" w:lineRule="auto"/>
        <w:rPr>
          <w:szCs w:val="28"/>
        </w:rPr>
      </w:pPr>
    </w:p>
    <w:p w:rsidR="008C60BE" w:rsidRPr="008C60BE" w:rsidRDefault="008C60BE" w:rsidP="008C60BE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 w:rsidRPr="008C60BE">
        <w:rPr>
          <w:b/>
          <w:sz w:val="28"/>
          <w:szCs w:val="28"/>
        </w:rPr>
        <w:t xml:space="preserve">Результаты оценки </w:t>
      </w:r>
      <w:r w:rsidRPr="008C60BE">
        <w:rPr>
          <w:b/>
          <w:sz w:val="28"/>
        </w:rPr>
        <w:t xml:space="preserve">эффективности налоговых льгот </w:t>
      </w:r>
    </w:p>
    <w:p w:rsidR="008C60BE" w:rsidRPr="008C60BE" w:rsidRDefault="008C60BE" w:rsidP="008C60B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60BE">
        <w:rPr>
          <w:b/>
          <w:sz w:val="28"/>
          <w:szCs w:val="28"/>
        </w:rPr>
        <w:t xml:space="preserve">(налоговых расходов) </w:t>
      </w:r>
      <w:r>
        <w:rPr>
          <w:b/>
          <w:sz w:val="28"/>
          <w:szCs w:val="28"/>
        </w:rPr>
        <w:t xml:space="preserve">Криворожского </w:t>
      </w:r>
      <w:r w:rsidRPr="008C60BE">
        <w:rPr>
          <w:b/>
          <w:sz w:val="28"/>
          <w:szCs w:val="28"/>
        </w:rPr>
        <w:t xml:space="preserve">сельского поселения </w:t>
      </w:r>
    </w:p>
    <w:p w:rsidR="008C60BE" w:rsidRPr="008C60BE" w:rsidRDefault="008C60BE" w:rsidP="008C60B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60BE">
        <w:rPr>
          <w:b/>
          <w:sz w:val="28"/>
          <w:szCs w:val="28"/>
        </w:rPr>
        <w:t>за 2019 год</w:t>
      </w:r>
    </w:p>
    <w:p w:rsidR="001F41D6" w:rsidRDefault="001F41D6" w:rsidP="001F41D6">
      <w:pPr>
        <w:jc w:val="center"/>
        <w:rPr>
          <w:sz w:val="28"/>
          <w:szCs w:val="28"/>
        </w:rPr>
      </w:pPr>
    </w:p>
    <w:p w:rsidR="008C60BE" w:rsidRPr="00133873" w:rsidRDefault="008C60BE" w:rsidP="008C60BE">
      <w:pPr>
        <w:ind w:firstLine="709"/>
        <w:jc w:val="both"/>
        <w:rPr>
          <w:sz w:val="28"/>
          <w:szCs w:val="28"/>
        </w:rPr>
      </w:pPr>
      <w:r w:rsidRPr="00235F44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Криворожского</w:t>
      </w:r>
      <w:r w:rsidRPr="00235F4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</w:t>
      </w:r>
      <w:r w:rsidRPr="00235F4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35F4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35F44">
        <w:rPr>
          <w:sz w:val="28"/>
          <w:szCs w:val="28"/>
        </w:rPr>
        <w:t xml:space="preserve"> № </w:t>
      </w:r>
      <w:r>
        <w:rPr>
          <w:sz w:val="28"/>
          <w:szCs w:val="28"/>
        </w:rPr>
        <w:t>107 «О П</w:t>
      </w:r>
      <w:r w:rsidRPr="00235F44">
        <w:rPr>
          <w:sz w:val="28"/>
          <w:szCs w:val="28"/>
        </w:rPr>
        <w:t>орядке оценки эффективности  налоговых льгот по местным налогам» была пр</w:t>
      </w:r>
      <w:r>
        <w:rPr>
          <w:sz w:val="28"/>
          <w:szCs w:val="28"/>
        </w:rPr>
        <w:t xml:space="preserve">оведена </w:t>
      </w:r>
      <w:r w:rsidRPr="00235F44">
        <w:rPr>
          <w:sz w:val="28"/>
          <w:szCs w:val="28"/>
        </w:rPr>
        <w:t>эффективности налоговых льгот.</w:t>
      </w:r>
    </w:p>
    <w:p w:rsidR="008C60BE" w:rsidRPr="00395065" w:rsidRDefault="008C60BE" w:rsidP="008C60BE">
      <w:pPr>
        <w:ind w:firstLine="708"/>
        <w:jc w:val="both"/>
        <w:rPr>
          <w:sz w:val="28"/>
          <w:szCs w:val="28"/>
        </w:rPr>
      </w:pPr>
      <w:r w:rsidRPr="0039506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Криворожского сельского</w:t>
      </w:r>
      <w:r w:rsidRPr="00395065">
        <w:rPr>
          <w:sz w:val="28"/>
          <w:szCs w:val="28"/>
        </w:rPr>
        <w:t xml:space="preserve"> поселения налоговые льготы и дифференцированные ставки установлены </w:t>
      </w:r>
      <w:r>
        <w:rPr>
          <w:sz w:val="28"/>
          <w:szCs w:val="28"/>
        </w:rPr>
        <w:t>р</w:t>
      </w:r>
      <w:r w:rsidRPr="00395065">
        <w:rPr>
          <w:sz w:val="28"/>
          <w:szCs w:val="28"/>
        </w:rPr>
        <w:t xml:space="preserve">ешениями Собрания депутатов </w:t>
      </w:r>
      <w:r>
        <w:rPr>
          <w:sz w:val="28"/>
          <w:szCs w:val="28"/>
        </w:rPr>
        <w:t>Криворожского сельского поселения:</w:t>
      </w:r>
    </w:p>
    <w:p w:rsidR="008C60BE" w:rsidRDefault="008C60BE" w:rsidP="008C6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решение собрания депутатов 29.11.2016 № 15 «О земельном налоге»;</w:t>
      </w:r>
    </w:p>
    <w:p w:rsidR="008C60BE" w:rsidRDefault="008C60BE" w:rsidP="008C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от 13.</w:t>
      </w:r>
      <w:r w:rsidRPr="00197BE5">
        <w:rPr>
          <w:sz w:val="28"/>
          <w:szCs w:val="28"/>
        </w:rPr>
        <w:t>11.</w:t>
      </w:r>
      <w:r>
        <w:rPr>
          <w:sz w:val="28"/>
          <w:szCs w:val="28"/>
        </w:rPr>
        <w:t>2017 № 67 «О налоге на имущество физических лиц».</w:t>
      </w:r>
    </w:p>
    <w:p w:rsidR="008C60BE" w:rsidRDefault="008C60BE" w:rsidP="008C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оценке эффективности льгот по налогам, являющи</w:t>
      </w:r>
      <w:r w:rsidR="00347913">
        <w:rPr>
          <w:sz w:val="28"/>
          <w:szCs w:val="28"/>
        </w:rPr>
        <w:t>е</w:t>
      </w:r>
      <w:r>
        <w:rPr>
          <w:sz w:val="28"/>
          <w:szCs w:val="28"/>
        </w:rPr>
        <w:t>ся доходными источниками бюджета Криворожского сельского поселения, закреплены:</w:t>
      </w:r>
    </w:p>
    <w:p w:rsidR="008C60BE" w:rsidRPr="00162BFD" w:rsidRDefault="008C60BE" w:rsidP="008C60BE">
      <w:pPr>
        <w:ind w:firstLine="708"/>
        <w:jc w:val="both"/>
        <w:rPr>
          <w:sz w:val="28"/>
          <w:szCs w:val="28"/>
        </w:rPr>
      </w:pPr>
      <w:r w:rsidRPr="00162BFD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162BFD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Криворожского</w:t>
      </w:r>
      <w:r w:rsidRPr="00162BF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</w:t>
      </w:r>
      <w:r w:rsidRPr="00162BF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62BF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62BFD">
        <w:rPr>
          <w:sz w:val="28"/>
          <w:szCs w:val="28"/>
        </w:rPr>
        <w:t xml:space="preserve"> №</w:t>
      </w:r>
      <w:r>
        <w:rPr>
          <w:sz w:val="28"/>
          <w:szCs w:val="28"/>
        </w:rPr>
        <w:t>107</w:t>
      </w:r>
      <w:r w:rsidRPr="00162BFD">
        <w:rPr>
          <w:sz w:val="28"/>
          <w:szCs w:val="28"/>
        </w:rPr>
        <w:t xml:space="preserve"> «</w:t>
      </w:r>
      <w:r>
        <w:rPr>
          <w:sz w:val="28"/>
          <w:szCs w:val="28"/>
        </w:rPr>
        <w:t>О П</w:t>
      </w:r>
      <w:r w:rsidRPr="00162BFD">
        <w:rPr>
          <w:sz w:val="28"/>
          <w:szCs w:val="28"/>
        </w:rPr>
        <w:t>орядке оценки эффективности налоговых льгот по местным налогам»;</w:t>
      </w:r>
    </w:p>
    <w:p w:rsidR="008C60BE" w:rsidRDefault="008C60BE" w:rsidP="008C60BE">
      <w:pPr>
        <w:ind w:firstLine="357"/>
        <w:jc w:val="both"/>
        <w:rPr>
          <w:sz w:val="28"/>
        </w:rPr>
      </w:pPr>
      <w:r w:rsidRPr="006776B1">
        <w:rPr>
          <w:sz w:val="28"/>
        </w:rPr>
        <w:t>-</w:t>
      </w:r>
      <w:r w:rsidRPr="006776B1">
        <w:rPr>
          <w:sz w:val="28"/>
          <w:szCs w:val="28"/>
        </w:rPr>
        <w:t xml:space="preserve"> распоряжением Администрации Криворожского сельского поселения от 28.11.2013 № 79 </w:t>
      </w:r>
      <w:r w:rsidRPr="006776B1">
        <w:rPr>
          <w:sz w:val="28"/>
        </w:rPr>
        <w:t>«</w:t>
      </w:r>
      <w:r w:rsidRPr="006776B1">
        <w:rPr>
          <w:sz w:val="28"/>
          <w:szCs w:val="28"/>
        </w:rPr>
        <w:t>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Криворожском сельском поселении до 2022 года».</w:t>
      </w:r>
      <w:r>
        <w:rPr>
          <w:sz w:val="28"/>
        </w:rPr>
        <w:t xml:space="preserve"> </w:t>
      </w:r>
    </w:p>
    <w:p w:rsidR="008C60BE" w:rsidRPr="00890A75" w:rsidRDefault="008C60BE" w:rsidP="008C60BE">
      <w:pPr>
        <w:ind w:firstLine="357"/>
        <w:jc w:val="both"/>
        <w:rPr>
          <w:sz w:val="28"/>
          <w:szCs w:val="28"/>
        </w:rPr>
      </w:pPr>
      <w:r w:rsidRPr="00890A75">
        <w:rPr>
          <w:sz w:val="28"/>
          <w:szCs w:val="28"/>
        </w:rPr>
        <w:t>Оценка эффективности предоставляемых налоговых льгот по местным налогам осуществляется в разрезе следующих критериев:</w:t>
      </w:r>
    </w:p>
    <w:p w:rsidR="008C60BE" w:rsidRPr="00890A75" w:rsidRDefault="008C60BE" w:rsidP="008C60BE">
      <w:pPr>
        <w:ind w:firstLine="567"/>
        <w:jc w:val="both"/>
        <w:rPr>
          <w:sz w:val="28"/>
          <w:szCs w:val="28"/>
        </w:rPr>
      </w:pPr>
      <w:r w:rsidRPr="00890A75">
        <w:rPr>
          <w:b/>
          <w:i/>
          <w:sz w:val="28"/>
          <w:szCs w:val="28"/>
        </w:rPr>
        <w:t xml:space="preserve"> бюджетная эффективность</w:t>
      </w:r>
      <w:r w:rsidRPr="00890A75">
        <w:rPr>
          <w:sz w:val="28"/>
          <w:szCs w:val="28"/>
        </w:rPr>
        <w:t xml:space="preserve"> – оценка результатов хозяйственной деятельности категорий налогоплательщиков, которым предоставлены налоговые льготы, с точки зрения влияния на наполняемость бюджета  </w:t>
      </w:r>
      <w:r>
        <w:rPr>
          <w:sz w:val="28"/>
          <w:szCs w:val="28"/>
        </w:rPr>
        <w:t>Криворожского</w:t>
      </w:r>
      <w:r w:rsidRPr="00890A75">
        <w:rPr>
          <w:sz w:val="28"/>
          <w:szCs w:val="28"/>
        </w:rPr>
        <w:t xml:space="preserve"> сельского поселения Миллеровского района;</w:t>
      </w:r>
    </w:p>
    <w:p w:rsidR="008C60BE" w:rsidRPr="00890A75" w:rsidRDefault="008C60BE" w:rsidP="008C60BE">
      <w:pPr>
        <w:ind w:firstLine="567"/>
        <w:jc w:val="both"/>
        <w:rPr>
          <w:sz w:val="28"/>
          <w:szCs w:val="28"/>
        </w:rPr>
      </w:pPr>
      <w:r w:rsidRPr="00890A75">
        <w:rPr>
          <w:b/>
          <w:i/>
          <w:sz w:val="28"/>
          <w:szCs w:val="28"/>
        </w:rPr>
        <w:t xml:space="preserve"> экономическая эффективность </w:t>
      </w:r>
      <w:r w:rsidRPr="00890A75">
        <w:rPr>
          <w:sz w:val="28"/>
          <w:szCs w:val="28"/>
        </w:rPr>
        <w:t xml:space="preserve">– оценка динамики финансово-экономических показателей хозяйственной деятельности налогоплательщиков, которым предоставлены налоговые льготы; </w:t>
      </w:r>
    </w:p>
    <w:p w:rsidR="008C60BE" w:rsidRPr="00890A75" w:rsidRDefault="008C60BE" w:rsidP="008C60BE">
      <w:pPr>
        <w:ind w:firstLine="567"/>
        <w:jc w:val="both"/>
        <w:rPr>
          <w:sz w:val="28"/>
          <w:szCs w:val="28"/>
        </w:rPr>
      </w:pPr>
      <w:r w:rsidRPr="00890A75">
        <w:rPr>
          <w:b/>
          <w:i/>
          <w:sz w:val="28"/>
          <w:szCs w:val="28"/>
        </w:rPr>
        <w:t xml:space="preserve"> социальная эффективность – </w:t>
      </w:r>
      <w:r w:rsidRPr="00890A75">
        <w:rPr>
          <w:sz w:val="28"/>
          <w:szCs w:val="28"/>
        </w:rPr>
        <w:t>оценка</w:t>
      </w:r>
      <w:r w:rsidRPr="00890A75">
        <w:rPr>
          <w:b/>
          <w:i/>
          <w:sz w:val="28"/>
          <w:szCs w:val="28"/>
        </w:rPr>
        <w:t xml:space="preserve"> </w:t>
      </w:r>
      <w:r w:rsidRPr="00890A75">
        <w:rPr>
          <w:sz w:val="28"/>
          <w:szCs w:val="28"/>
        </w:rPr>
        <w:t xml:space="preserve">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8C60BE" w:rsidRPr="00890A75" w:rsidRDefault="008C60BE" w:rsidP="008C60BE">
      <w:pPr>
        <w:jc w:val="both"/>
        <w:rPr>
          <w:sz w:val="28"/>
          <w:szCs w:val="28"/>
        </w:rPr>
      </w:pPr>
      <w:r w:rsidRPr="00890A75">
        <w:rPr>
          <w:sz w:val="28"/>
          <w:szCs w:val="28"/>
        </w:rPr>
        <w:tab/>
      </w:r>
      <w:r w:rsidRPr="00890A75">
        <w:rPr>
          <w:sz w:val="28"/>
          <w:szCs w:val="28"/>
        </w:rPr>
        <w:tab/>
      </w:r>
    </w:p>
    <w:p w:rsidR="008C60BE" w:rsidRPr="00890A75" w:rsidRDefault="008C60BE" w:rsidP="008C60BE">
      <w:pPr>
        <w:ind w:firstLine="567"/>
        <w:jc w:val="both"/>
        <w:rPr>
          <w:b/>
          <w:sz w:val="28"/>
          <w:szCs w:val="28"/>
        </w:rPr>
      </w:pPr>
      <w:r w:rsidRPr="00890A75">
        <w:rPr>
          <w:b/>
          <w:sz w:val="28"/>
          <w:szCs w:val="28"/>
        </w:rPr>
        <w:t>1. Налог на имущество физических лиц.</w:t>
      </w:r>
    </w:p>
    <w:p w:rsidR="008C60BE" w:rsidRDefault="008C60BE" w:rsidP="008C60BE">
      <w:pPr>
        <w:jc w:val="both"/>
        <w:rPr>
          <w:sz w:val="28"/>
          <w:szCs w:val="28"/>
        </w:rPr>
      </w:pPr>
      <w:r w:rsidRPr="00890A75">
        <w:rPr>
          <w:sz w:val="28"/>
          <w:szCs w:val="28"/>
        </w:rPr>
        <w:lastRenderedPageBreak/>
        <w:tab/>
      </w:r>
      <w:r w:rsidRPr="006776B1">
        <w:rPr>
          <w:sz w:val="28"/>
          <w:szCs w:val="28"/>
        </w:rPr>
        <w:t>Объем поступлений по налогу на имущество физических лиц в 201</w:t>
      </w:r>
      <w:r>
        <w:rPr>
          <w:sz w:val="28"/>
          <w:szCs w:val="28"/>
        </w:rPr>
        <w:t>9</w:t>
      </w:r>
      <w:r w:rsidRPr="006776B1">
        <w:rPr>
          <w:sz w:val="28"/>
          <w:szCs w:val="28"/>
        </w:rPr>
        <w:t xml:space="preserve"> году в  бюджет Криворожского сельского поселения составил </w:t>
      </w:r>
      <w:r>
        <w:rPr>
          <w:sz w:val="28"/>
          <w:szCs w:val="28"/>
        </w:rPr>
        <w:t>136,8</w:t>
      </w:r>
      <w:r w:rsidRPr="006776B1">
        <w:rPr>
          <w:sz w:val="28"/>
          <w:szCs w:val="28"/>
        </w:rPr>
        <w:t xml:space="preserve"> тыс. рублей или 2,</w:t>
      </w:r>
      <w:r>
        <w:rPr>
          <w:sz w:val="28"/>
          <w:szCs w:val="28"/>
        </w:rPr>
        <w:t>0</w:t>
      </w:r>
      <w:r w:rsidRPr="006776B1">
        <w:rPr>
          <w:sz w:val="28"/>
          <w:szCs w:val="28"/>
        </w:rPr>
        <w:t xml:space="preserve"> % от общего объема налоговых и неналоговых доходов.</w:t>
      </w:r>
      <w:r w:rsidRPr="00890A75">
        <w:rPr>
          <w:sz w:val="28"/>
          <w:szCs w:val="28"/>
        </w:rPr>
        <w:t xml:space="preserve"> </w:t>
      </w:r>
    </w:p>
    <w:p w:rsidR="008C60BE" w:rsidRPr="00A67063" w:rsidRDefault="008C60BE" w:rsidP="008C60BE">
      <w:pPr>
        <w:ind w:firstLine="709"/>
        <w:jc w:val="both"/>
        <w:rPr>
          <w:sz w:val="28"/>
          <w:szCs w:val="28"/>
        </w:rPr>
      </w:pPr>
      <w:r w:rsidRPr="00A6706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Криворожского</w:t>
      </w:r>
      <w:r w:rsidRPr="00A67063">
        <w:rPr>
          <w:sz w:val="28"/>
          <w:szCs w:val="28"/>
        </w:rPr>
        <w:t xml:space="preserve"> сельского поселения ставки по налогу на имущество физических лиц действовавшие в 201</w:t>
      </w:r>
      <w:r>
        <w:rPr>
          <w:sz w:val="28"/>
          <w:szCs w:val="28"/>
        </w:rPr>
        <w:t>9</w:t>
      </w:r>
      <w:r w:rsidRPr="00A67063">
        <w:rPr>
          <w:sz w:val="28"/>
          <w:szCs w:val="28"/>
        </w:rPr>
        <w:t xml:space="preserve"> году были установлены в максимальных размерах.</w:t>
      </w:r>
    </w:p>
    <w:p w:rsidR="008C60BE" w:rsidRDefault="008C60BE" w:rsidP="008C60BE">
      <w:pPr>
        <w:ind w:firstLine="708"/>
        <w:jc w:val="both"/>
        <w:rPr>
          <w:sz w:val="28"/>
          <w:szCs w:val="28"/>
        </w:rPr>
      </w:pPr>
      <w:r w:rsidRPr="00975F39">
        <w:rPr>
          <w:sz w:val="28"/>
          <w:szCs w:val="28"/>
        </w:rPr>
        <w:t xml:space="preserve">Налоговые льготы решением Собрания депутатов </w:t>
      </w:r>
      <w:r>
        <w:rPr>
          <w:sz w:val="28"/>
          <w:szCs w:val="28"/>
        </w:rPr>
        <w:t>Криворожского</w:t>
      </w:r>
      <w:r w:rsidRPr="00975F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предоставлены следующим категориям:</w:t>
      </w:r>
    </w:p>
    <w:p w:rsidR="008C60BE" w:rsidRDefault="008C60BE" w:rsidP="008C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-граждане Российской Федерации, имеющие в составе семьи ребенка-инвалида.</w:t>
      </w:r>
    </w:p>
    <w:p w:rsidR="008C60BE" w:rsidRPr="00A67063" w:rsidRDefault="008C60BE" w:rsidP="008C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виду налоговых льгот льгота не предоставлялась.</w:t>
      </w:r>
    </w:p>
    <w:p w:rsidR="008C60BE" w:rsidRPr="00D52514" w:rsidRDefault="008C60BE" w:rsidP="008C60BE">
      <w:pPr>
        <w:spacing w:line="276" w:lineRule="auto"/>
        <w:jc w:val="both"/>
        <w:rPr>
          <w:sz w:val="28"/>
          <w:szCs w:val="28"/>
        </w:rPr>
      </w:pPr>
      <w:r w:rsidRPr="007A15CB">
        <w:rPr>
          <w:sz w:val="28"/>
          <w:szCs w:val="28"/>
        </w:rPr>
        <w:t xml:space="preserve">           </w:t>
      </w:r>
    </w:p>
    <w:p w:rsidR="008C60BE" w:rsidRPr="00890A75" w:rsidRDefault="008C60BE" w:rsidP="008C60BE">
      <w:pPr>
        <w:ind w:firstLine="708"/>
        <w:jc w:val="both"/>
        <w:rPr>
          <w:sz w:val="28"/>
          <w:szCs w:val="28"/>
        </w:rPr>
      </w:pPr>
      <w:r w:rsidRPr="00890A75">
        <w:rPr>
          <w:b/>
          <w:sz w:val="28"/>
          <w:szCs w:val="28"/>
        </w:rPr>
        <w:t>2. Земельный налог</w:t>
      </w:r>
      <w:r w:rsidRPr="00890A75">
        <w:rPr>
          <w:sz w:val="28"/>
          <w:szCs w:val="28"/>
        </w:rPr>
        <w:t>.</w:t>
      </w:r>
    </w:p>
    <w:p w:rsidR="008C60BE" w:rsidRPr="00133873" w:rsidRDefault="008C60BE" w:rsidP="008C60BE">
      <w:pPr>
        <w:jc w:val="center"/>
        <w:rPr>
          <w:sz w:val="28"/>
          <w:szCs w:val="28"/>
        </w:rPr>
      </w:pPr>
    </w:p>
    <w:p w:rsidR="008C60BE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 w:rsidRPr="00A67063">
        <w:rPr>
          <w:iCs/>
          <w:color w:val="000000"/>
          <w:sz w:val="28"/>
          <w:szCs w:val="28"/>
        </w:rPr>
        <w:t xml:space="preserve">На основании </w:t>
      </w:r>
      <w:r>
        <w:rPr>
          <w:iCs/>
          <w:color w:val="000000"/>
          <w:sz w:val="28"/>
          <w:szCs w:val="28"/>
        </w:rPr>
        <w:t xml:space="preserve">аналитического приложения </w:t>
      </w:r>
      <w:r w:rsidRPr="00E35E5F">
        <w:rPr>
          <w:sz w:val="28"/>
          <w:szCs w:val="28"/>
        </w:rPr>
        <w:t>«Анализ имущественных налогов» в составе автоматизированной информационной системы ФНС России нового поколения (АИС «Налог-3»)</w:t>
      </w:r>
      <w:r>
        <w:rPr>
          <w:sz w:val="28"/>
          <w:szCs w:val="28"/>
        </w:rPr>
        <w:t xml:space="preserve"> </w:t>
      </w:r>
      <w:r w:rsidRPr="00A67063">
        <w:rPr>
          <w:sz w:val="28"/>
          <w:szCs w:val="28"/>
        </w:rPr>
        <w:t>о</w:t>
      </w:r>
      <w:r w:rsidRPr="00A67063">
        <w:rPr>
          <w:iCs/>
          <w:color w:val="000000"/>
          <w:sz w:val="28"/>
          <w:szCs w:val="28"/>
        </w:rPr>
        <w:t xml:space="preserve">бщий объем предоставленных </w:t>
      </w:r>
      <w:r w:rsidRPr="00A67063">
        <w:rPr>
          <w:sz w:val="28"/>
          <w:szCs w:val="28"/>
        </w:rPr>
        <w:t>льгот</w:t>
      </w:r>
      <w:r>
        <w:rPr>
          <w:sz w:val="28"/>
          <w:szCs w:val="28"/>
        </w:rPr>
        <w:t xml:space="preserve"> (налоговых расходов)</w:t>
      </w:r>
      <w:r w:rsidRPr="00A67063">
        <w:rPr>
          <w:sz w:val="28"/>
          <w:szCs w:val="28"/>
        </w:rPr>
        <w:t xml:space="preserve"> </w:t>
      </w:r>
      <w:r>
        <w:rPr>
          <w:sz w:val="28"/>
          <w:szCs w:val="28"/>
        </w:rPr>
        <w:t>по земельному налогу составил 2,0 тыс. рублей,</w:t>
      </w:r>
      <w:r w:rsidRPr="00526F9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8C60BE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5ED7">
        <w:rPr>
          <w:sz w:val="28"/>
          <w:szCs w:val="28"/>
        </w:rPr>
        <w:t xml:space="preserve"> </w:t>
      </w:r>
      <w:r w:rsidRPr="00210BA7">
        <w:rPr>
          <w:sz w:val="28"/>
          <w:szCs w:val="28"/>
        </w:rPr>
        <w:t>инвалид</w:t>
      </w:r>
      <w:r>
        <w:rPr>
          <w:sz w:val="28"/>
          <w:szCs w:val="28"/>
        </w:rPr>
        <w:t xml:space="preserve">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</w:t>
      </w:r>
      <w:r w:rsidRPr="00526F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210BA7">
        <w:rPr>
          <w:sz w:val="28"/>
          <w:szCs w:val="28"/>
        </w:rPr>
        <w:t>групп инвалидности</w:t>
      </w:r>
      <w:r>
        <w:rPr>
          <w:sz w:val="28"/>
          <w:szCs w:val="28"/>
        </w:rPr>
        <w:t xml:space="preserve"> -0,2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C60BE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CE064E">
        <w:rPr>
          <w:sz w:val="28"/>
          <w:szCs w:val="28"/>
        </w:rPr>
        <w:t>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</w:r>
      <w:proofErr w:type="gramStart"/>
      <w:r w:rsidRPr="00CE064E">
        <w:rPr>
          <w:sz w:val="28"/>
          <w:szCs w:val="28"/>
        </w:rPr>
        <w:t xml:space="preserve"> ,</w:t>
      </w:r>
      <w:proofErr w:type="gramEnd"/>
      <w:r w:rsidRPr="00CE064E">
        <w:rPr>
          <w:sz w:val="28"/>
          <w:szCs w:val="28"/>
        </w:rPr>
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E064E">
        <w:rPr>
          <w:sz w:val="28"/>
          <w:szCs w:val="28"/>
        </w:rPr>
        <w:t>Теча</w:t>
      </w:r>
      <w:proofErr w:type="spellEnd"/>
      <w:r w:rsidRPr="00CE064E">
        <w:rPr>
          <w:sz w:val="28"/>
          <w:szCs w:val="28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>
        <w:rPr>
          <w:sz w:val="28"/>
          <w:szCs w:val="28"/>
        </w:rPr>
        <w:t xml:space="preserve"> - 0,4 тыс. рублей;</w:t>
      </w:r>
    </w:p>
    <w:p w:rsidR="008C60BE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064E">
        <w:rPr>
          <w:sz w:val="28"/>
          <w:szCs w:val="28"/>
        </w:rPr>
        <w:t>Семьи, имеющие детей-инвалидов</w:t>
      </w:r>
      <w:r>
        <w:rPr>
          <w:sz w:val="28"/>
          <w:szCs w:val="28"/>
        </w:rPr>
        <w:t xml:space="preserve"> – 0,3 тыс. рублей;</w:t>
      </w:r>
    </w:p>
    <w:p w:rsidR="008C60BE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семьи -1,1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8C60BE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 w:rsidRPr="005C62F1">
        <w:rPr>
          <w:sz w:val="28"/>
          <w:szCs w:val="28"/>
        </w:rPr>
        <w:t xml:space="preserve"> </w:t>
      </w:r>
      <w:r w:rsidRPr="00D81487">
        <w:rPr>
          <w:sz w:val="28"/>
          <w:szCs w:val="28"/>
        </w:rPr>
        <w:t>В соответствии с пунктом 4 решения Собрания депутатов Криворожского сельского поселения от 29.11.2016 № 15 «О земельном налоге»  налоговая база уменьшается на необлагаемую налогом сумму в следующих размерах:</w:t>
      </w:r>
    </w:p>
    <w:p w:rsidR="008C60BE" w:rsidRPr="00210BA7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10BA7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210BA7">
        <w:rPr>
          <w:sz w:val="28"/>
          <w:szCs w:val="28"/>
        </w:rPr>
        <w:t xml:space="preserve"> 000 рублей на одного налогоплательщика на территории </w:t>
      </w:r>
      <w:r>
        <w:rPr>
          <w:sz w:val="28"/>
          <w:szCs w:val="28"/>
        </w:rPr>
        <w:t xml:space="preserve">Криворожского </w:t>
      </w:r>
      <w:r w:rsidRPr="00210BA7">
        <w:rPr>
          <w:sz w:val="28"/>
          <w:szCs w:val="28"/>
        </w:rPr>
        <w:t>сельского поселения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C60BE" w:rsidRPr="00210BA7" w:rsidRDefault="008C60BE" w:rsidP="008C60BE">
      <w:pPr>
        <w:widowControl w:val="0"/>
        <w:ind w:firstLine="709"/>
        <w:jc w:val="both"/>
        <w:rPr>
          <w:sz w:val="28"/>
          <w:szCs w:val="28"/>
        </w:rPr>
      </w:pPr>
      <w:bookmarkStart w:id="0" w:name="dst1372"/>
      <w:bookmarkEnd w:id="0"/>
      <w:r>
        <w:rPr>
          <w:sz w:val="28"/>
          <w:szCs w:val="28"/>
        </w:rPr>
        <w:t>а</w:t>
      </w:r>
      <w:r w:rsidRPr="00210BA7">
        <w:rPr>
          <w:sz w:val="28"/>
          <w:szCs w:val="28"/>
        </w:rPr>
        <w:t>) Героев Советского Союза, Героев Российской Федерации, полных кавалеров ордена Славы;</w:t>
      </w:r>
    </w:p>
    <w:p w:rsidR="008C60BE" w:rsidRPr="00526F95" w:rsidRDefault="008C60BE" w:rsidP="008C60BE">
      <w:pPr>
        <w:widowControl w:val="0"/>
        <w:ind w:firstLine="709"/>
        <w:jc w:val="both"/>
        <w:rPr>
          <w:sz w:val="28"/>
          <w:szCs w:val="28"/>
        </w:rPr>
      </w:pPr>
      <w:bookmarkStart w:id="1" w:name="dst10312"/>
      <w:bookmarkEnd w:id="1"/>
      <w:r>
        <w:rPr>
          <w:sz w:val="28"/>
          <w:szCs w:val="28"/>
        </w:rPr>
        <w:t>б</w:t>
      </w:r>
      <w:r w:rsidRPr="00210BA7">
        <w:rPr>
          <w:sz w:val="28"/>
          <w:szCs w:val="28"/>
        </w:rPr>
        <w:t>) инвалидов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</w:t>
      </w:r>
      <w:r w:rsidRPr="00526F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210BA7">
        <w:rPr>
          <w:sz w:val="28"/>
          <w:szCs w:val="28"/>
        </w:rPr>
        <w:t>групп инвалидности</w:t>
      </w:r>
      <w:r>
        <w:rPr>
          <w:sz w:val="28"/>
          <w:szCs w:val="28"/>
        </w:rPr>
        <w:t xml:space="preserve">; </w:t>
      </w:r>
      <w:bookmarkStart w:id="2" w:name="dst1374"/>
      <w:bookmarkEnd w:id="2"/>
    </w:p>
    <w:p w:rsidR="008C60BE" w:rsidRPr="00210BA7" w:rsidRDefault="008C60BE" w:rsidP="008C60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0BA7">
        <w:rPr>
          <w:sz w:val="28"/>
          <w:szCs w:val="28"/>
        </w:rPr>
        <w:t>) инвалидов с детства;</w:t>
      </w:r>
    </w:p>
    <w:p w:rsidR="008C60BE" w:rsidRPr="00210BA7" w:rsidRDefault="008C60BE" w:rsidP="008C60BE">
      <w:pPr>
        <w:widowControl w:val="0"/>
        <w:ind w:firstLine="709"/>
        <w:jc w:val="both"/>
        <w:rPr>
          <w:sz w:val="28"/>
          <w:szCs w:val="28"/>
        </w:rPr>
      </w:pPr>
      <w:bookmarkStart w:id="3" w:name="dst1375"/>
      <w:bookmarkEnd w:id="3"/>
      <w:r>
        <w:rPr>
          <w:sz w:val="28"/>
          <w:szCs w:val="28"/>
        </w:rPr>
        <w:t>г</w:t>
      </w:r>
      <w:r w:rsidRPr="00210BA7">
        <w:rPr>
          <w:sz w:val="28"/>
          <w:szCs w:val="28"/>
        </w:rPr>
        <w:t>) ветеранов и инвалидов Великой Отечественной войны, а также ветеранов и инвалидов боевых действий;</w:t>
      </w:r>
    </w:p>
    <w:p w:rsidR="008C60BE" w:rsidRPr="00210BA7" w:rsidRDefault="008C60BE" w:rsidP="008C60BE">
      <w:pPr>
        <w:widowControl w:val="0"/>
        <w:ind w:firstLine="709"/>
        <w:jc w:val="both"/>
        <w:rPr>
          <w:sz w:val="28"/>
          <w:szCs w:val="28"/>
        </w:rPr>
      </w:pPr>
      <w:bookmarkStart w:id="4" w:name="dst1376"/>
      <w:bookmarkEnd w:id="4"/>
      <w:proofErr w:type="spellStart"/>
      <w:proofErr w:type="gramStart"/>
      <w:r>
        <w:rPr>
          <w:sz w:val="28"/>
          <w:szCs w:val="28"/>
        </w:rPr>
        <w:lastRenderedPageBreak/>
        <w:t>д</w:t>
      </w:r>
      <w:proofErr w:type="spellEnd"/>
      <w:r w:rsidRPr="00210BA7">
        <w:rPr>
          <w:sz w:val="28"/>
          <w:szCs w:val="28"/>
        </w:rPr>
        <w:t xml:space="preserve">) физических лиц, имеющих право на получение социальной поддержки в соответствии с </w:t>
      </w:r>
      <w:hyperlink r:id="rId5" w:anchor="dst100066" w:history="1">
        <w:r w:rsidRPr="00210BA7">
          <w:rPr>
            <w:sz w:val="28"/>
            <w:szCs w:val="28"/>
          </w:rPr>
          <w:t>Законом</w:t>
        </w:r>
      </w:hyperlink>
      <w:r w:rsidRPr="00210BA7">
        <w:rPr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 </w:t>
      </w:r>
      <w:hyperlink r:id="rId6" w:anchor="dst100006" w:history="1">
        <w:r w:rsidRPr="00210BA7">
          <w:rPr>
            <w:sz w:val="28"/>
            <w:szCs w:val="28"/>
          </w:rPr>
          <w:t>Закона</w:t>
        </w:r>
      </w:hyperlink>
      <w:r w:rsidRPr="00210BA7">
        <w:rPr>
          <w:sz w:val="28"/>
          <w:szCs w:val="28"/>
        </w:rPr>
        <w:t> Российской Федерации от 18.06.1992 № 3061-1), в соответствии с Федеральным </w:t>
      </w:r>
      <w:hyperlink r:id="rId7" w:history="1">
        <w:r w:rsidRPr="00210BA7">
          <w:rPr>
            <w:sz w:val="28"/>
            <w:szCs w:val="28"/>
          </w:rPr>
          <w:t>законом</w:t>
        </w:r>
      </w:hyperlink>
      <w:r w:rsidRPr="00210BA7">
        <w:rPr>
          <w:sz w:val="28"/>
          <w:szCs w:val="28"/>
        </w:rPr>
        <w:t> от 26.11.1998 № 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</w:r>
      <w:proofErr w:type="gramEnd"/>
      <w:r w:rsidRPr="00210BA7">
        <w:rPr>
          <w:sz w:val="28"/>
          <w:szCs w:val="28"/>
        </w:rPr>
        <w:t xml:space="preserve"> «Маяк» и сбросов радиоактивных отходов в реку </w:t>
      </w:r>
      <w:proofErr w:type="spellStart"/>
      <w:r w:rsidRPr="00210BA7">
        <w:rPr>
          <w:sz w:val="28"/>
          <w:szCs w:val="28"/>
        </w:rPr>
        <w:t>Теча</w:t>
      </w:r>
      <w:proofErr w:type="spellEnd"/>
      <w:r w:rsidRPr="00210BA7">
        <w:rPr>
          <w:sz w:val="28"/>
          <w:szCs w:val="28"/>
        </w:rPr>
        <w:t xml:space="preserve">» и в соответствии с Федеральным </w:t>
      </w:r>
      <w:hyperlink r:id="rId8" w:history="1">
        <w:r w:rsidRPr="00210BA7">
          <w:rPr>
            <w:sz w:val="28"/>
            <w:szCs w:val="28"/>
          </w:rPr>
          <w:t>законом</w:t>
        </w:r>
      </w:hyperlink>
      <w:r w:rsidRPr="00210BA7">
        <w:rPr>
          <w:sz w:val="28"/>
          <w:szCs w:val="28"/>
        </w:rPr>
        <w:t xml:space="preserve">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8C60BE" w:rsidRPr="00210BA7" w:rsidRDefault="008C60BE" w:rsidP="008C60BE">
      <w:pPr>
        <w:widowControl w:val="0"/>
        <w:ind w:firstLine="709"/>
        <w:jc w:val="both"/>
        <w:rPr>
          <w:sz w:val="28"/>
          <w:szCs w:val="28"/>
        </w:rPr>
      </w:pPr>
      <w:bookmarkStart w:id="5" w:name="dst1377"/>
      <w:bookmarkEnd w:id="5"/>
      <w:r>
        <w:rPr>
          <w:sz w:val="28"/>
          <w:szCs w:val="28"/>
        </w:rPr>
        <w:t>е</w:t>
      </w:r>
      <w:r w:rsidRPr="00210BA7">
        <w:rPr>
          <w:sz w:val="28"/>
          <w:szCs w:val="28"/>
        </w:rPr>
        <w:t>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C60BE" w:rsidRDefault="008C60BE" w:rsidP="008C60BE">
      <w:pPr>
        <w:widowControl w:val="0"/>
        <w:ind w:firstLine="709"/>
        <w:jc w:val="both"/>
        <w:rPr>
          <w:sz w:val="28"/>
          <w:szCs w:val="28"/>
        </w:rPr>
      </w:pPr>
      <w:bookmarkStart w:id="6" w:name="dst1378"/>
      <w:bookmarkEnd w:id="6"/>
      <w:r>
        <w:rPr>
          <w:sz w:val="28"/>
          <w:szCs w:val="28"/>
        </w:rPr>
        <w:t>ж</w:t>
      </w:r>
      <w:r w:rsidRPr="00210BA7">
        <w:rPr>
          <w:sz w:val="28"/>
          <w:szCs w:val="28"/>
        </w:rPr>
        <w:t>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>
        <w:rPr>
          <w:sz w:val="28"/>
          <w:szCs w:val="28"/>
        </w:rPr>
        <w:t>;</w:t>
      </w:r>
    </w:p>
    <w:p w:rsidR="008C60BE" w:rsidRDefault="008C60BE" w:rsidP="008C60BE">
      <w:pPr>
        <w:pStyle w:val="a5"/>
        <w:tabs>
          <w:tab w:val="left" w:pos="540"/>
          <w:tab w:val="left" w:pos="720"/>
        </w:tabs>
      </w:pPr>
      <w:r>
        <w:t xml:space="preserve">           </w:t>
      </w:r>
      <w:proofErr w:type="spellStart"/>
      <w:r>
        <w:t>з</w:t>
      </w:r>
      <w:proofErr w:type="spellEnd"/>
      <w:r>
        <w:t xml:space="preserve">) </w:t>
      </w:r>
      <w:r w:rsidRPr="00F96E0B">
        <w:t>граждан Российской Федерации, имеющих в составе семьи ребенка-инвалида.</w:t>
      </w:r>
      <w:r w:rsidRPr="00210BA7">
        <w:t xml:space="preserve"> </w:t>
      </w:r>
    </w:p>
    <w:p w:rsidR="008C60BE" w:rsidRDefault="008C60BE" w:rsidP="008C60BE">
      <w:pPr>
        <w:pStyle w:val="a5"/>
        <w:tabs>
          <w:tab w:val="left" w:pos="540"/>
          <w:tab w:val="left" w:pos="720"/>
        </w:tabs>
        <w:jc w:val="both"/>
      </w:pPr>
      <w:r>
        <w:tab/>
        <w:t>2) 28000 рублей на одного налогоплательщика на территории муниципального образования «Криворожское  сельское поселение» в отношении земельного участка, находящегося в собственности, постоянном (бессрочном) пользовании или пожизненном наследуемом владении  следующих категорий налогоплательщиков:</w:t>
      </w:r>
    </w:p>
    <w:p w:rsidR="008C60BE" w:rsidRDefault="008C60BE" w:rsidP="008C60BE">
      <w:pPr>
        <w:pStyle w:val="a5"/>
        <w:tabs>
          <w:tab w:val="left" w:pos="540"/>
          <w:tab w:val="left" w:pos="720"/>
        </w:tabs>
        <w:jc w:val="both"/>
      </w:pPr>
      <w:r>
        <w:t xml:space="preserve"> а) Героев Социалистического Труда, полных кавалеров орденов Трудовой Славы и «За службу Родине в вооруженных силах СССР».</w:t>
      </w:r>
    </w:p>
    <w:p w:rsidR="008C60BE" w:rsidRDefault="008C60BE" w:rsidP="008C60BE">
      <w:pPr>
        <w:ind w:firstLine="709"/>
        <w:jc w:val="both"/>
        <w:rPr>
          <w:sz w:val="28"/>
          <w:szCs w:val="28"/>
        </w:rPr>
      </w:pPr>
      <w:proofErr w:type="gramStart"/>
      <w:r w:rsidRPr="00D81487">
        <w:rPr>
          <w:sz w:val="28"/>
          <w:szCs w:val="28"/>
        </w:rPr>
        <w:t>Кроме того, в соответствии с пунктом 5 решения Собрания депутатов Криворожского сельского поселения  от уплаты земельного налога освобождаются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</w:t>
      </w:r>
      <w:proofErr w:type="gramEnd"/>
      <w:r w:rsidRPr="00D81487">
        <w:rPr>
          <w:sz w:val="28"/>
          <w:szCs w:val="28"/>
        </w:rPr>
        <w:t xml:space="preserve"> «О регулировании земельных отношений в Ростовской области».</w:t>
      </w:r>
    </w:p>
    <w:p w:rsidR="008C60BE" w:rsidRPr="004C40B2" w:rsidRDefault="008C60BE" w:rsidP="008C60BE">
      <w:pPr>
        <w:ind w:firstLine="709"/>
        <w:jc w:val="both"/>
        <w:rPr>
          <w:sz w:val="28"/>
          <w:szCs w:val="28"/>
        </w:rPr>
      </w:pPr>
      <w:r w:rsidRPr="004C40B2">
        <w:rPr>
          <w:sz w:val="28"/>
          <w:szCs w:val="28"/>
        </w:rPr>
        <w:t xml:space="preserve"> В 2017 году был принят Федеральный закон «О внесении изменений в части первую и вторую Налогового кодекса Российской Федерации и отдельные законодательные акты Российской Федерации» № 436-ФЗ от 28.12.2017 года. </w:t>
      </w:r>
      <w:proofErr w:type="gramStart"/>
      <w:r w:rsidRPr="004C40B2">
        <w:rPr>
          <w:sz w:val="28"/>
          <w:szCs w:val="28"/>
        </w:rPr>
        <w:t>Согласно положений</w:t>
      </w:r>
      <w:proofErr w:type="gramEnd"/>
      <w:r w:rsidRPr="004C40B2">
        <w:rPr>
          <w:sz w:val="28"/>
          <w:szCs w:val="28"/>
        </w:rPr>
        <w:t xml:space="preserve"> Федерального закона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 Была введена категория граждан, имеющая право на налоговую льготу:   пенсионеры, получающие пенсии, назначаемые в порядке, </w:t>
      </w:r>
      <w:r w:rsidRPr="004C40B2">
        <w:rPr>
          <w:sz w:val="28"/>
          <w:szCs w:val="28"/>
        </w:rPr>
        <w:lastRenderedPageBreak/>
        <w:t xml:space="preserve">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 </w:t>
      </w:r>
    </w:p>
    <w:p w:rsidR="008C60BE" w:rsidRPr="000946C6" w:rsidRDefault="008C60BE" w:rsidP="008C60BE">
      <w:pPr>
        <w:ind w:firstLine="709"/>
        <w:jc w:val="both"/>
        <w:rPr>
          <w:sz w:val="28"/>
          <w:szCs w:val="28"/>
        </w:rPr>
      </w:pPr>
      <w:r w:rsidRPr="000946C6">
        <w:rPr>
          <w:sz w:val="28"/>
          <w:szCs w:val="28"/>
        </w:rPr>
        <w:t xml:space="preserve">Администрацией Криворожского сельского поселения был проведен анализ суммы выпадающих доходов при предоставлении льготы данной категории налогоплательщиков. </w:t>
      </w:r>
    </w:p>
    <w:p w:rsidR="008C60BE" w:rsidRPr="005C225F" w:rsidRDefault="008C60BE" w:rsidP="008C60BE">
      <w:pPr>
        <w:ind w:firstLine="709"/>
        <w:jc w:val="both"/>
        <w:rPr>
          <w:sz w:val="28"/>
          <w:szCs w:val="28"/>
        </w:rPr>
      </w:pPr>
      <w:r w:rsidRPr="000946C6">
        <w:rPr>
          <w:sz w:val="28"/>
          <w:szCs w:val="28"/>
        </w:rPr>
        <w:t>Расчет осуществлялся на основе показателей для оценки налогового потенциала по земельному налогу за 201</w:t>
      </w:r>
      <w:r>
        <w:rPr>
          <w:sz w:val="28"/>
          <w:szCs w:val="28"/>
        </w:rPr>
        <w:t>9</w:t>
      </w:r>
      <w:r w:rsidRPr="000946C6">
        <w:rPr>
          <w:sz w:val="28"/>
          <w:szCs w:val="28"/>
        </w:rPr>
        <w:t xml:space="preserve"> год. Общая кадастровая стоимость земельных участков </w:t>
      </w:r>
      <w:r>
        <w:rPr>
          <w:sz w:val="28"/>
          <w:szCs w:val="28"/>
        </w:rPr>
        <w:t>1470846,8</w:t>
      </w:r>
      <w:r w:rsidRPr="000946C6">
        <w:rPr>
          <w:sz w:val="28"/>
          <w:szCs w:val="28"/>
        </w:rPr>
        <w:t xml:space="preserve"> тыс. рублей. Общая площадь земельных участков </w:t>
      </w:r>
      <w:r w:rsidRPr="005C225F">
        <w:rPr>
          <w:sz w:val="28"/>
          <w:szCs w:val="28"/>
        </w:rPr>
        <w:t>28305,6 га. Согласно данных предоставленных налоговой инспекцией количество пенсионеров 483 человек. Сумма выпадающего дохода составила:</w:t>
      </w:r>
    </w:p>
    <w:p w:rsidR="008C60BE" w:rsidRPr="005C225F" w:rsidRDefault="008C60BE" w:rsidP="008C60BE">
      <w:pPr>
        <w:ind w:firstLine="709"/>
        <w:jc w:val="both"/>
        <w:rPr>
          <w:sz w:val="28"/>
          <w:szCs w:val="28"/>
        </w:rPr>
      </w:pPr>
      <w:r w:rsidRPr="005C225F">
        <w:rPr>
          <w:sz w:val="28"/>
          <w:szCs w:val="28"/>
        </w:rPr>
        <w:t>1) 483 * 500 /10 000 = 24,2 га (площадь земельных участков данной категории налогоплательщиков;</w:t>
      </w:r>
    </w:p>
    <w:p w:rsidR="008C60BE" w:rsidRPr="005C225F" w:rsidRDefault="008C60BE" w:rsidP="008C60BE">
      <w:pPr>
        <w:ind w:firstLine="709"/>
        <w:jc w:val="both"/>
        <w:rPr>
          <w:sz w:val="28"/>
          <w:szCs w:val="28"/>
        </w:rPr>
      </w:pPr>
      <w:r w:rsidRPr="005C225F">
        <w:rPr>
          <w:sz w:val="28"/>
          <w:szCs w:val="28"/>
        </w:rPr>
        <w:t>2) 1470846,8 / 28305,6 = 52 тыс. рублей (кадастровая стоимость одного га земельного участка);</w:t>
      </w:r>
    </w:p>
    <w:p w:rsidR="008C60BE" w:rsidRPr="005C225F" w:rsidRDefault="008C60BE" w:rsidP="008C60BE">
      <w:pPr>
        <w:ind w:firstLine="709"/>
        <w:jc w:val="both"/>
        <w:rPr>
          <w:sz w:val="28"/>
          <w:szCs w:val="28"/>
        </w:rPr>
      </w:pPr>
      <w:r w:rsidRPr="005C225F">
        <w:rPr>
          <w:sz w:val="28"/>
          <w:szCs w:val="28"/>
        </w:rPr>
        <w:t>3) 24,2 * 52 = 1258,4 тыс. рублей (кадастровая стоимость земельных участков данной категории налогоплательщиков);</w:t>
      </w:r>
    </w:p>
    <w:p w:rsidR="008C60BE" w:rsidRPr="000946C6" w:rsidRDefault="008C60BE" w:rsidP="008C60BE">
      <w:pPr>
        <w:ind w:firstLine="709"/>
        <w:jc w:val="both"/>
        <w:rPr>
          <w:sz w:val="28"/>
          <w:szCs w:val="28"/>
        </w:rPr>
      </w:pPr>
      <w:r w:rsidRPr="005C225F">
        <w:rPr>
          <w:sz w:val="28"/>
          <w:szCs w:val="28"/>
        </w:rPr>
        <w:t>4) 1258,4 * 0,3% = 3,8тыс. рублей (сумма налога).</w:t>
      </w:r>
    </w:p>
    <w:p w:rsidR="008C60BE" w:rsidRDefault="008C60BE" w:rsidP="008C60BE">
      <w:pPr>
        <w:ind w:firstLine="709"/>
        <w:jc w:val="both"/>
        <w:rPr>
          <w:sz w:val="28"/>
          <w:szCs w:val="28"/>
        </w:rPr>
      </w:pPr>
      <w:r w:rsidRPr="000946C6">
        <w:rPr>
          <w:sz w:val="28"/>
          <w:szCs w:val="28"/>
        </w:rPr>
        <w:t xml:space="preserve">Таким образом, при предоставлении льготы данной категории граждан, в бюджет </w:t>
      </w:r>
      <w:r>
        <w:rPr>
          <w:sz w:val="28"/>
          <w:szCs w:val="28"/>
        </w:rPr>
        <w:t>Криворожского</w:t>
      </w:r>
      <w:r w:rsidRPr="000946C6">
        <w:rPr>
          <w:sz w:val="28"/>
          <w:szCs w:val="28"/>
        </w:rPr>
        <w:t xml:space="preserve"> сельского поселения Миллеровского района не поступит </w:t>
      </w:r>
      <w:r>
        <w:rPr>
          <w:sz w:val="28"/>
          <w:szCs w:val="28"/>
        </w:rPr>
        <w:t>3,8</w:t>
      </w:r>
      <w:r w:rsidRPr="000946C6">
        <w:rPr>
          <w:sz w:val="28"/>
          <w:szCs w:val="28"/>
        </w:rPr>
        <w:t xml:space="preserve"> тыс. рублей.</w:t>
      </w:r>
    </w:p>
    <w:p w:rsidR="008C60BE" w:rsidRDefault="008C60BE" w:rsidP="008C60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890A75">
        <w:rPr>
          <w:sz w:val="28"/>
          <w:szCs w:val="28"/>
        </w:rPr>
        <w:t xml:space="preserve">алоговые льготы  по земельному налогу и налоговые доходы бюджета </w:t>
      </w:r>
      <w:r>
        <w:rPr>
          <w:sz w:val="28"/>
          <w:szCs w:val="28"/>
        </w:rPr>
        <w:t>Криворожского</w:t>
      </w:r>
      <w:r w:rsidRPr="00890A75">
        <w:rPr>
          <w:sz w:val="28"/>
          <w:szCs w:val="28"/>
        </w:rPr>
        <w:t xml:space="preserve"> сельского поселения Миллеровского района</w:t>
      </w:r>
    </w:p>
    <w:p w:rsidR="008C60BE" w:rsidRPr="00890A75" w:rsidRDefault="008C60BE" w:rsidP="008C60BE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  <w:gridCol w:w="1985"/>
        <w:gridCol w:w="1559"/>
      </w:tblGrid>
      <w:tr w:rsidR="008C60BE" w:rsidRPr="00890A75" w:rsidTr="00321148">
        <w:tc>
          <w:tcPr>
            <w:tcW w:w="4361" w:type="dxa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 w:rsidRPr="00890A7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 w:rsidRPr="00890A75">
              <w:rPr>
                <w:sz w:val="28"/>
                <w:szCs w:val="28"/>
              </w:rPr>
              <w:t>Фактическое исполнение бюджета поселения за 201</w:t>
            </w:r>
            <w:r>
              <w:rPr>
                <w:sz w:val="28"/>
                <w:szCs w:val="28"/>
              </w:rPr>
              <w:t>9</w:t>
            </w:r>
            <w:r w:rsidRPr="00890A7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 w:rsidRPr="00890A75">
              <w:rPr>
                <w:sz w:val="28"/>
                <w:szCs w:val="28"/>
              </w:rPr>
              <w:t>Ожидаемое исполнение бюджета поселения на 20</w:t>
            </w:r>
            <w:r>
              <w:rPr>
                <w:sz w:val="28"/>
                <w:szCs w:val="28"/>
              </w:rPr>
              <w:t>20</w:t>
            </w:r>
            <w:r w:rsidRPr="00890A7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 w:rsidRPr="00890A75">
              <w:rPr>
                <w:sz w:val="28"/>
                <w:szCs w:val="28"/>
              </w:rPr>
              <w:t>Прогноз на   20</w:t>
            </w:r>
            <w:r>
              <w:rPr>
                <w:sz w:val="28"/>
                <w:szCs w:val="28"/>
              </w:rPr>
              <w:t>21</w:t>
            </w:r>
            <w:r w:rsidRPr="00890A75">
              <w:rPr>
                <w:sz w:val="28"/>
                <w:szCs w:val="28"/>
              </w:rPr>
              <w:t xml:space="preserve"> г.</w:t>
            </w:r>
          </w:p>
        </w:tc>
      </w:tr>
      <w:tr w:rsidR="008C60BE" w:rsidRPr="00890A75" w:rsidTr="00321148">
        <w:tc>
          <w:tcPr>
            <w:tcW w:w="4361" w:type="dxa"/>
          </w:tcPr>
          <w:p w:rsidR="008C60BE" w:rsidRPr="00890A75" w:rsidRDefault="008C60BE" w:rsidP="00321148">
            <w:pPr>
              <w:rPr>
                <w:sz w:val="28"/>
                <w:szCs w:val="28"/>
              </w:rPr>
            </w:pPr>
            <w:r w:rsidRPr="00890A75">
              <w:rPr>
                <w:sz w:val="28"/>
                <w:szCs w:val="28"/>
              </w:rPr>
              <w:t xml:space="preserve">Сумма налоговых  и неналоговых доходов бюджета </w:t>
            </w:r>
            <w:r>
              <w:rPr>
                <w:sz w:val="28"/>
                <w:szCs w:val="28"/>
              </w:rPr>
              <w:t>Криворожского</w:t>
            </w:r>
            <w:r w:rsidRPr="00890A75">
              <w:rPr>
                <w:sz w:val="28"/>
                <w:szCs w:val="28"/>
              </w:rPr>
              <w:t xml:space="preserve"> сельского поселения (</w:t>
            </w:r>
            <w:r w:rsidRPr="00890A75">
              <w:rPr>
                <w:i/>
                <w:sz w:val="28"/>
                <w:szCs w:val="28"/>
              </w:rPr>
              <w:t>тыс. руб</w:t>
            </w:r>
            <w:r w:rsidRPr="00890A75"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6782,3</w:t>
            </w:r>
          </w:p>
        </w:tc>
        <w:tc>
          <w:tcPr>
            <w:tcW w:w="1985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6691,1</w:t>
            </w:r>
          </w:p>
        </w:tc>
        <w:tc>
          <w:tcPr>
            <w:tcW w:w="1559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6881,1</w:t>
            </w:r>
          </w:p>
        </w:tc>
      </w:tr>
      <w:tr w:rsidR="008C60BE" w:rsidRPr="00890A75" w:rsidTr="00321148">
        <w:tc>
          <w:tcPr>
            <w:tcW w:w="4361" w:type="dxa"/>
          </w:tcPr>
          <w:p w:rsidR="008C60BE" w:rsidRPr="00890A75" w:rsidRDefault="008C60BE" w:rsidP="00321148">
            <w:pPr>
              <w:rPr>
                <w:sz w:val="28"/>
                <w:szCs w:val="28"/>
              </w:rPr>
            </w:pPr>
            <w:r w:rsidRPr="00890A75">
              <w:rPr>
                <w:sz w:val="28"/>
                <w:szCs w:val="28"/>
              </w:rPr>
              <w:t>Сумма льгот (</w:t>
            </w:r>
            <w:r w:rsidRPr="00890A75">
              <w:rPr>
                <w:i/>
                <w:sz w:val="28"/>
                <w:szCs w:val="28"/>
              </w:rPr>
              <w:t>тыс. руб.)</w:t>
            </w:r>
          </w:p>
        </w:tc>
        <w:tc>
          <w:tcPr>
            <w:tcW w:w="2126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85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C60BE" w:rsidRPr="00890A75" w:rsidTr="00321148">
        <w:tc>
          <w:tcPr>
            <w:tcW w:w="4361" w:type="dxa"/>
          </w:tcPr>
          <w:p w:rsidR="008C60BE" w:rsidRPr="00890A75" w:rsidRDefault="008C60BE" w:rsidP="00321148">
            <w:pPr>
              <w:rPr>
                <w:sz w:val="28"/>
                <w:szCs w:val="28"/>
              </w:rPr>
            </w:pPr>
            <w:r w:rsidRPr="00890A75">
              <w:rPr>
                <w:sz w:val="28"/>
                <w:szCs w:val="28"/>
              </w:rPr>
              <w:t xml:space="preserve">Доля объема налоговых льгот в сумме налоговых и неналоговых доходов бюджета </w:t>
            </w:r>
            <w:r>
              <w:rPr>
                <w:sz w:val="28"/>
                <w:szCs w:val="28"/>
              </w:rPr>
              <w:t>Криворожского</w:t>
            </w:r>
            <w:r w:rsidRPr="00890A75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Pr="00890A7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26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985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59" w:type="dxa"/>
            <w:vAlign w:val="center"/>
          </w:tcPr>
          <w:p w:rsidR="008C60BE" w:rsidRPr="00890A75" w:rsidRDefault="008C60BE" w:rsidP="0032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8C60BE" w:rsidRDefault="008C60BE" w:rsidP="008C60BE">
      <w:pPr>
        <w:ind w:firstLine="709"/>
        <w:jc w:val="both"/>
        <w:rPr>
          <w:sz w:val="28"/>
          <w:szCs w:val="28"/>
        </w:rPr>
      </w:pPr>
    </w:p>
    <w:p w:rsidR="008C60BE" w:rsidRDefault="008C60BE" w:rsidP="008C60BE">
      <w:pPr>
        <w:ind w:firstLine="709"/>
        <w:jc w:val="both"/>
        <w:rPr>
          <w:sz w:val="28"/>
          <w:szCs w:val="28"/>
        </w:rPr>
      </w:pPr>
      <w:r w:rsidRPr="00272A5D">
        <w:rPr>
          <w:sz w:val="28"/>
          <w:szCs w:val="28"/>
        </w:rPr>
        <w:t>Таким образом, исходя из итогов проведенного анализа, можно сказать, что социальная эффективность налоговых льгот</w:t>
      </w:r>
      <w:r>
        <w:rPr>
          <w:sz w:val="28"/>
          <w:szCs w:val="28"/>
        </w:rPr>
        <w:t xml:space="preserve"> на 2019 год</w:t>
      </w:r>
      <w:r w:rsidRPr="00272A5D">
        <w:rPr>
          <w:sz w:val="28"/>
          <w:szCs w:val="28"/>
        </w:rPr>
        <w:t xml:space="preserve">, установленных на территории </w:t>
      </w:r>
      <w:r>
        <w:rPr>
          <w:sz w:val="28"/>
          <w:szCs w:val="28"/>
        </w:rPr>
        <w:t>Криворожского</w:t>
      </w:r>
      <w:r w:rsidRPr="00272A5D">
        <w:rPr>
          <w:sz w:val="28"/>
          <w:szCs w:val="28"/>
        </w:rPr>
        <w:t xml:space="preserve"> сельского поселения является положительной, так как указанные льготы способствуют росту социальной защищенности населения, формированию благоприятных условий жизнедеятельности.</w:t>
      </w:r>
    </w:p>
    <w:p w:rsidR="008C60BE" w:rsidRPr="00DF3B06" w:rsidRDefault="008C60BE" w:rsidP="008C60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3B06">
        <w:rPr>
          <w:sz w:val="28"/>
          <w:szCs w:val="28"/>
        </w:rPr>
        <w:t xml:space="preserve">о итогам проведенной оценки эффективности налоговых льгот и ставок, </w:t>
      </w:r>
      <w:r>
        <w:rPr>
          <w:sz w:val="28"/>
          <w:szCs w:val="28"/>
        </w:rPr>
        <w:t xml:space="preserve">льготы </w:t>
      </w:r>
      <w:r w:rsidRPr="00DF3B06">
        <w:rPr>
          <w:sz w:val="28"/>
          <w:szCs w:val="28"/>
        </w:rPr>
        <w:t>установленны</w:t>
      </w:r>
      <w:r>
        <w:rPr>
          <w:sz w:val="28"/>
          <w:szCs w:val="28"/>
        </w:rPr>
        <w:t>е</w:t>
      </w:r>
      <w:r w:rsidRPr="00DF3B06">
        <w:rPr>
          <w:sz w:val="28"/>
          <w:szCs w:val="28"/>
        </w:rPr>
        <w:t xml:space="preserve"> Собранием депутатов </w:t>
      </w:r>
      <w:r>
        <w:rPr>
          <w:sz w:val="28"/>
          <w:szCs w:val="28"/>
        </w:rPr>
        <w:t>Криворожского</w:t>
      </w:r>
      <w:r w:rsidRPr="00DF3B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являются эффективными и не требующими отмены</w:t>
      </w:r>
      <w:r w:rsidRPr="00DF3B06">
        <w:rPr>
          <w:sz w:val="28"/>
          <w:szCs w:val="28"/>
        </w:rPr>
        <w:t>.</w:t>
      </w:r>
    </w:p>
    <w:p w:rsidR="008C60BE" w:rsidRPr="00272A5D" w:rsidRDefault="008C60BE" w:rsidP="008C60BE">
      <w:pPr>
        <w:ind w:firstLine="709"/>
        <w:jc w:val="both"/>
        <w:rPr>
          <w:i/>
          <w:sz w:val="28"/>
          <w:szCs w:val="28"/>
        </w:rPr>
      </w:pPr>
    </w:p>
    <w:p w:rsidR="008C60BE" w:rsidRDefault="008C60BE" w:rsidP="001F41D6">
      <w:pPr>
        <w:jc w:val="center"/>
        <w:rPr>
          <w:sz w:val="28"/>
          <w:szCs w:val="28"/>
        </w:rPr>
      </w:pPr>
    </w:p>
    <w:sectPr w:rsidR="008C60BE" w:rsidSect="008C60BE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41D6"/>
    <w:rsid w:val="00006196"/>
    <w:rsid w:val="001F41D6"/>
    <w:rsid w:val="00320D50"/>
    <w:rsid w:val="00347913"/>
    <w:rsid w:val="00497C63"/>
    <w:rsid w:val="00832621"/>
    <w:rsid w:val="008C60BE"/>
    <w:rsid w:val="00B201C3"/>
    <w:rsid w:val="00D4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0BE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F4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1F41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F41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F41D6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western">
    <w:name w:val="western"/>
    <w:basedOn w:val="a"/>
    <w:rsid w:val="00B201C3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basedOn w:val="a0"/>
    <w:link w:val="1"/>
    <w:rsid w:val="008C60BE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8C60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60BE"/>
    <w:pPr>
      <w:ind w:left="720"/>
      <w:contextualSpacing/>
    </w:pPr>
  </w:style>
  <w:style w:type="paragraph" w:styleId="a5">
    <w:name w:val="Body Text"/>
    <w:basedOn w:val="a"/>
    <w:link w:val="a6"/>
    <w:unhideWhenUsed/>
    <w:rsid w:val="008C60BE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C60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1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791/3d0cac60971a511280cbba229d9b6329c07731f7/" TargetMode="External"/><Relationship Id="rId5" Type="http://schemas.openxmlformats.org/officeDocument/2006/relationships/hyperlink" Target="http://www.consultant.ru/document/cons_doc_LAW_5323/37a48dfeea878ab354a30883f11f3a8e43a577a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1726</Words>
  <Characters>9840</Characters>
  <Application>Microsoft Office Word</Application>
  <DocSecurity>0</DocSecurity>
  <Lines>82</Lines>
  <Paragraphs>23</Paragraphs>
  <ScaleCrop>false</ScaleCrop>
  <Company>Microsoft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3</cp:revision>
  <dcterms:created xsi:type="dcterms:W3CDTF">2020-07-30T07:38:00Z</dcterms:created>
  <dcterms:modified xsi:type="dcterms:W3CDTF">2020-07-30T08:22:00Z</dcterms:modified>
</cp:coreProperties>
</file>