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Default="0008236B" w:rsidP="000823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36</w:t>
      </w:r>
    </w:p>
    <w:p w:rsidR="00140804" w:rsidRPr="003F7F4F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3F7F4F" w:rsidRDefault="00C62004" w:rsidP="00DE522C">
      <w:pPr>
        <w:pStyle w:val="a8"/>
        <w:jc w:val="center"/>
      </w:pPr>
      <w:r>
        <w:rPr>
          <w:sz w:val="28"/>
          <w:szCs w:val="28"/>
        </w:rPr>
        <w:t>с</w:t>
      </w:r>
      <w:r w:rsidR="00100D8A">
        <w:rPr>
          <w:sz w:val="28"/>
          <w:szCs w:val="28"/>
        </w:rPr>
        <w:t>л. Криворожье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3F7F4F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Об утверждении отчета </w:t>
      </w:r>
    </w:p>
    <w:p w:rsidR="00140804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 реализации муниципальной программы </w:t>
      </w:r>
      <w:r w:rsidR="00100D8A">
        <w:rPr>
          <w:b/>
          <w:szCs w:val="28"/>
        </w:rPr>
        <w:t>Криворожского</w:t>
      </w:r>
      <w:r w:rsidR="009D59C6">
        <w:rPr>
          <w:b/>
          <w:szCs w:val="28"/>
        </w:rPr>
        <w:t xml:space="preserve"> сельского поселения</w:t>
      </w:r>
      <w:r w:rsidRPr="003F7F4F">
        <w:rPr>
          <w:b/>
          <w:szCs w:val="28"/>
        </w:rPr>
        <w:t xml:space="preserve"> «</w:t>
      </w:r>
      <w:r w:rsidR="007F11DB" w:rsidRPr="00BF73C4">
        <w:rPr>
          <w:b/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F7F4F">
        <w:rPr>
          <w:b/>
          <w:szCs w:val="28"/>
        </w:rPr>
        <w:t>»</w:t>
      </w:r>
      <w:r w:rsidR="007F11DB">
        <w:rPr>
          <w:b/>
          <w:szCs w:val="28"/>
        </w:rPr>
        <w:t xml:space="preserve"> </w:t>
      </w:r>
      <w:r w:rsidRPr="003F7F4F">
        <w:rPr>
          <w:b/>
          <w:szCs w:val="28"/>
        </w:rPr>
        <w:t>за 201</w:t>
      </w:r>
      <w:r w:rsidR="00A4004E" w:rsidRPr="003F7F4F">
        <w:rPr>
          <w:b/>
          <w:szCs w:val="28"/>
        </w:rPr>
        <w:t>8</w:t>
      </w:r>
      <w:r w:rsidRPr="003F7F4F">
        <w:rPr>
          <w:b/>
          <w:szCs w:val="28"/>
        </w:rPr>
        <w:t xml:space="preserve"> год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Default="00C62004" w:rsidP="00C62004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100D8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65D10">
        <w:rPr>
          <w:sz w:val="28"/>
          <w:szCs w:val="28"/>
        </w:rPr>
        <w:t xml:space="preserve">15.10.2018 № 101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100D8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100D8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C62004" w:rsidRPr="00345F73" w:rsidRDefault="00C62004" w:rsidP="00EB5DF0">
      <w:pPr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3F7F4F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A4422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3F7F4F">
        <w:rPr>
          <w:szCs w:val="28"/>
        </w:rPr>
        <w:t>1. </w:t>
      </w:r>
      <w:r w:rsidR="00140804" w:rsidRPr="003F7F4F">
        <w:rPr>
          <w:szCs w:val="28"/>
        </w:rPr>
        <w:t xml:space="preserve">Утвердить отчет о реализации муниципальной программы </w:t>
      </w:r>
      <w:r w:rsidR="00100D8A">
        <w:rPr>
          <w:spacing w:val="-6"/>
          <w:szCs w:val="28"/>
        </w:rPr>
        <w:t>Криворожского</w:t>
      </w:r>
      <w:r w:rsidR="009D59C6" w:rsidRPr="001C5F0E">
        <w:rPr>
          <w:spacing w:val="-6"/>
          <w:szCs w:val="28"/>
        </w:rPr>
        <w:t xml:space="preserve"> сельского поселения</w:t>
      </w:r>
      <w:r w:rsidR="00140804" w:rsidRPr="003F7F4F">
        <w:rPr>
          <w:szCs w:val="28"/>
        </w:rPr>
        <w:t xml:space="preserve"> </w:t>
      </w:r>
      <w:r w:rsidR="00140804" w:rsidRPr="007F11DB">
        <w:rPr>
          <w:szCs w:val="28"/>
        </w:rPr>
        <w:t>«</w:t>
      </w:r>
      <w:r w:rsidR="007F11DB" w:rsidRPr="007F11DB">
        <w:rPr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40804" w:rsidRPr="007F11DB">
        <w:rPr>
          <w:szCs w:val="28"/>
        </w:rPr>
        <w:t>»</w:t>
      </w:r>
      <w:r w:rsidR="00140804" w:rsidRPr="00A44227">
        <w:rPr>
          <w:szCs w:val="28"/>
        </w:rPr>
        <w:t xml:space="preserve"> за 201</w:t>
      </w:r>
      <w:r w:rsidR="00BA1C4F" w:rsidRPr="00A44227">
        <w:rPr>
          <w:szCs w:val="28"/>
        </w:rPr>
        <w:t>8</w:t>
      </w:r>
      <w:r w:rsidRPr="00A44227">
        <w:rPr>
          <w:szCs w:val="28"/>
        </w:rPr>
        <w:t xml:space="preserve"> год</w:t>
      </w:r>
      <w:r w:rsidR="00140804" w:rsidRPr="00A44227">
        <w:rPr>
          <w:szCs w:val="28"/>
        </w:rPr>
        <w:t xml:space="preserve"> согласно приложению к настоящему </w:t>
      </w:r>
      <w:r w:rsidR="009D59C6">
        <w:rPr>
          <w:szCs w:val="28"/>
        </w:rPr>
        <w:t>постановл</w:t>
      </w:r>
      <w:r w:rsidR="00BA1C4F" w:rsidRPr="00A44227">
        <w:rPr>
          <w:szCs w:val="28"/>
        </w:rPr>
        <w:t>ению</w:t>
      </w:r>
      <w:r w:rsidR="00140804" w:rsidRPr="00A44227">
        <w:rPr>
          <w:szCs w:val="28"/>
        </w:rPr>
        <w:t>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3F7F4F" w:rsidRDefault="009D59C6" w:rsidP="00DE5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804" w:rsidRPr="003F7F4F">
        <w:rPr>
          <w:sz w:val="28"/>
          <w:szCs w:val="28"/>
        </w:rPr>
        <w:t xml:space="preserve">. </w:t>
      </w:r>
      <w:r w:rsidR="005E3ED2" w:rsidRPr="003F7F4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="00BA1C4F" w:rsidRPr="003F7F4F">
        <w:rPr>
          <w:sz w:val="28"/>
          <w:szCs w:val="28"/>
        </w:rPr>
        <w:t xml:space="preserve">ния </w:t>
      </w:r>
      <w:r w:rsidR="005E3ED2" w:rsidRPr="003F7F4F">
        <w:rPr>
          <w:sz w:val="28"/>
          <w:szCs w:val="28"/>
        </w:rPr>
        <w:t xml:space="preserve">оставляю </w:t>
      </w:r>
      <w:r w:rsidR="004C49FB">
        <w:rPr>
          <w:sz w:val="28"/>
          <w:szCs w:val="28"/>
        </w:rPr>
        <w:br/>
      </w:r>
      <w:r w:rsidR="005E3ED2" w:rsidRPr="003F7F4F">
        <w:rPr>
          <w:sz w:val="28"/>
          <w:szCs w:val="28"/>
        </w:rPr>
        <w:t>за собой.</w:t>
      </w:r>
    </w:p>
    <w:p w:rsidR="005E3ED2" w:rsidRPr="003F7F4F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3F7F4F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Default="009D59C6" w:rsidP="009D59C6">
      <w:pPr>
        <w:pStyle w:val="2"/>
        <w:ind w:left="0"/>
        <w:jc w:val="both"/>
        <w:rPr>
          <w:szCs w:val="28"/>
        </w:rPr>
      </w:pPr>
      <w:r w:rsidRPr="00B17402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>
        <w:rPr>
          <w:szCs w:val="28"/>
        </w:rPr>
        <w:t>Криворожского</w:t>
      </w:r>
      <w:r w:rsidR="009D59C6">
        <w:rPr>
          <w:szCs w:val="28"/>
        </w:rPr>
        <w:t xml:space="preserve"> сельского поселения</w:t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9D59C6">
        <w:rPr>
          <w:szCs w:val="28"/>
        </w:rPr>
        <w:tab/>
      </w:r>
      <w:r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8236B" w:rsidRDefault="0008236B" w:rsidP="000823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36</w:t>
      </w:r>
    </w:p>
    <w:p w:rsidR="00DE522C" w:rsidRPr="00123B35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7F11DB" w:rsidRPr="007F11D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>» за 201</w:t>
      </w:r>
      <w:r w:rsidR="00BA1C4F" w:rsidRPr="007F11DB">
        <w:rPr>
          <w:sz w:val="28"/>
          <w:szCs w:val="28"/>
        </w:rPr>
        <w:t>8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201</w:t>
      </w:r>
      <w:r w:rsidR="00BA1C4F" w:rsidRPr="00123B35">
        <w:rPr>
          <w:sz w:val="28"/>
          <w:szCs w:val="28"/>
        </w:rPr>
        <w:t>8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7F11DB" w:rsidRPr="007F11DB">
        <w:rPr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B8732F" w:rsidRPr="00B8732F">
        <w:rPr>
          <w:b w:val="0"/>
          <w:sz w:val="28"/>
          <w:szCs w:val="28"/>
        </w:rPr>
        <w:t>14.10.2013</w:t>
      </w:r>
      <w:r w:rsidR="007F11DB" w:rsidRPr="00B8732F">
        <w:rPr>
          <w:b w:val="0"/>
          <w:sz w:val="28"/>
          <w:szCs w:val="28"/>
        </w:rPr>
        <w:t xml:space="preserve"> № </w:t>
      </w:r>
      <w:r w:rsidR="00B8732F" w:rsidRPr="00B8732F">
        <w:rPr>
          <w:b w:val="0"/>
          <w:sz w:val="28"/>
          <w:szCs w:val="28"/>
        </w:rPr>
        <w:t>85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201</w:t>
      </w:r>
      <w:r w:rsidR="00E30135" w:rsidRPr="00123B35">
        <w:rPr>
          <w:b w:val="0"/>
          <w:sz w:val="28"/>
          <w:szCs w:val="28"/>
        </w:rPr>
        <w:t>8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Pr="00B8732F">
        <w:rPr>
          <w:b w:val="0"/>
          <w:sz w:val="28"/>
          <w:szCs w:val="28"/>
        </w:rPr>
        <w:t>2</w:t>
      </w:r>
      <w:r w:rsidR="0064319F" w:rsidRPr="00B8732F">
        <w:rPr>
          <w:b w:val="0"/>
          <w:sz w:val="28"/>
          <w:szCs w:val="28"/>
        </w:rPr>
        <w:t>9</w:t>
      </w:r>
      <w:r w:rsidRPr="00B8732F">
        <w:rPr>
          <w:b w:val="0"/>
          <w:sz w:val="28"/>
          <w:szCs w:val="28"/>
        </w:rPr>
        <w:t>.1</w:t>
      </w:r>
      <w:r w:rsidR="0064319F" w:rsidRPr="00B8732F">
        <w:rPr>
          <w:b w:val="0"/>
          <w:sz w:val="28"/>
          <w:szCs w:val="28"/>
        </w:rPr>
        <w:t>2</w:t>
      </w:r>
      <w:r w:rsidRPr="00B8732F">
        <w:rPr>
          <w:b w:val="0"/>
          <w:sz w:val="28"/>
          <w:szCs w:val="28"/>
        </w:rPr>
        <w:t xml:space="preserve">.2017 № </w:t>
      </w:r>
      <w:r w:rsidR="00C62004" w:rsidRPr="00B8732F">
        <w:rPr>
          <w:b w:val="0"/>
          <w:sz w:val="28"/>
          <w:szCs w:val="28"/>
        </w:rPr>
        <w:t>14</w:t>
      </w:r>
      <w:r w:rsidR="00B8732F" w:rsidRPr="00B8732F">
        <w:rPr>
          <w:b w:val="0"/>
          <w:sz w:val="28"/>
          <w:szCs w:val="28"/>
        </w:rPr>
        <w:t>6</w:t>
      </w:r>
      <w:r w:rsidRPr="00B8732F">
        <w:rPr>
          <w:b w:val="0"/>
          <w:sz w:val="28"/>
          <w:szCs w:val="28"/>
        </w:rPr>
        <w:t>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201</w:t>
      </w:r>
      <w:r w:rsidR="008F589D" w:rsidRPr="00123B35">
        <w:rPr>
          <w:b w:val="0"/>
          <w:sz w:val="28"/>
          <w:szCs w:val="28"/>
        </w:rPr>
        <w:t>8</w:t>
      </w:r>
      <w:r w:rsidRPr="00123B35">
        <w:rPr>
          <w:b w:val="0"/>
          <w:sz w:val="28"/>
          <w:szCs w:val="28"/>
        </w:rPr>
        <w:t xml:space="preserve"> года составило </w:t>
      </w:r>
      <w:r w:rsidR="00C62004">
        <w:rPr>
          <w:b w:val="0"/>
          <w:sz w:val="28"/>
          <w:szCs w:val="28"/>
        </w:rPr>
        <w:t>0,0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2018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AA25DB" w:rsidRPr="00EB5DF0" w:rsidRDefault="00AA25DB" w:rsidP="00100D8A">
      <w:pPr>
        <w:ind w:firstLine="708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Реализация исполнени</w:t>
      </w:r>
      <w:r w:rsidR="008F25A9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 </w:t>
      </w:r>
      <w:r w:rsidR="004F3713" w:rsidRPr="004F3713">
        <w:rPr>
          <w:sz w:val="28"/>
          <w:szCs w:val="28"/>
        </w:rPr>
        <w:t>пожарной безопасности</w:t>
      </w:r>
      <w:r w:rsidR="004F3713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 xml:space="preserve">отражена в </w:t>
      </w:r>
      <w:r w:rsidR="004F3713">
        <w:rPr>
          <w:sz w:val="28"/>
          <w:szCs w:val="28"/>
        </w:rPr>
        <w:t>постановле</w:t>
      </w:r>
      <w:r w:rsidRPr="00123B35">
        <w:rPr>
          <w:sz w:val="28"/>
          <w:szCs w:val="28"/>
        </w:rPr>
        <w:t xml:space="preserve">нии Администрации </w:t>
      </w:r>
      <w:r w:rsidR="00100D8A">
        <w:rPr>
          <w:sz w:val="28"/>
          <w:szCs w:val="28"/>
        </w:rPr>
        <w:t>Криворожского</w:t>
      </w:r>
      <w:r w:rsidR="00196952" w:rsidRPr="00096800">
        <w:rPr>
          <w:sz w:val="28"/>
          <w:szCs w:val="28"/>
        </w:rPr>
        <w:t xml:space="preserve"> сельского поселения</w:t>
      </w:r>
      <w:r w:rsidR="00196952" w:rsidRPr="00123B35">
        <w:rPr>
          <w:sz w:val="28"/>
          <w:szCs w:val="28"/>
        </w:rPr>
        <w:t xml:space="preserve"> </w:t>
      </w:r>
      <w:r w:rsidR="00EB5DF0">
        <w:rPr>
          <w:sz w:val="28"/>
          <w:szCs w:val="28"/>
        </w:rPr>
        <w:t xml:space="preserve"> от </w:t>
      </w:r>
      <w:r w:rsidR="00EB5DF0" w:rsidRPr="00EB5DF0">
        <w:rPr>
          <w:sz w:val="28"/>
          <w:szCs w:val="28"/>
        </w:rPr>
        <w:t xml:space="preserve">15.03.2018г № 29 </w:t>
      </w:r>
      <w:r w:rsidRPr="00EB5DF0">
        <w:rPr>
          <w:sz w:val="28"/>
          <w:szCs w:val="28"/>
        </w:rPr>
        <w:t>«</w:t>
      </w:r>
      <w:r w:rsidR="00BA3EA8" w:rsidRPr="00EB5DF0">
        <w:rPr>
          <w:sz w:val="28"/>
          <w:szCs w:val="28"/>
        </w:rPr>
        <w:t>Об  установлении особого противопожарного периода</w:t>
      </w:r>
      <w:r w:rsidR="00100D8A" w:rsidRPr="00EB5DF0">
        <w:rPr>
          <w:sz w:val="28"/>
          <w:szCs w:val="28"/>
        </w:rPr>
        <w:t xml:space="preserve"> </w:t>
      </w:r>
      <w:r w:rsidR="00BA3EA8" w:rsidRPr="00EB5DF0">
        <w:rPr>
          <w:sz w:val="28"/>
          <w:szCs w:val="28"/>
        </w:rPr>
        <w:t xml:space="preserve">на территории </w:t>
      </w:r>
      <w:r w:rsidR="00100D8A" w:rsidRPr="00EB5DF0">
        <w:rPr>
          <w:sz w:val="28"/>
          <w:szCs w:val="28"/>
        </w:rPr>
        <w:t>Криворожского</w:t>
      </w:r>
      <w:r w:rsidR="00BA3EA8" w:rsidRPr="00EB5DF0">
        <w:rPr>
          <w:sz w:val="28"/>
          <w:szCs w:val="28"/>
        </w:rPr>
        <w:t xml:space="preserve"> сельского поселения</w:t>
      </w:r>
      <w:r w:rsidRPr="00EB5DF0">
        <w:rPr>
          <w:sz w:val="28"/>
          <w:szCs w:val="28"/>
        </w:rPr>
        <w:t>».</w:t>
      </w:r>
    </w:p>
    <w:p w:rsidR="00BA5711" w:rsidRPr="00EB5DF0" w:rsidRDefault="00BA5711" w:rsidP="00A44227">
      <w:pPr>
        <w:ind w:firstLine="709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>По итогам 2018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535B22" w:rsidRPr="00535B22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>» за 2018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2018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9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2018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E1686F">
        <w:t>0,0</w:t>
      </w:r>
      <w:r w:rsidRPr="00123B3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201</w:t>
      </w:r>
      <w:r w:rsidR="0018404A" w:rsidRPr="00123B35">
        <w:rPr>
          <w:bCs/>
          <w:sz w:val="28"/>
          <w:szCs w:val="28"/>
        </w:rPr>
        <w:t>8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2018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3C6CB1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показателей,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287466" w:rsidRPr="00123B35">
        <w:rPr>
          <w:rFonts w:eastAsiaTheme="minorHAnsi"/>
          <w:sz w:val="28"/>
          <w:szCs w:val="28"/>
          <w:lang w:eastAsia="en-US"/>
        </w:rPr>
        <w:t>8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22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894D1A" w:rsidRPr="00123B35">
        <w:rPr>
          <w:rFonts w:eastAsiaTheme="minorHAnsi"/>
          <w:sz w:val="28"/>
          <w:szCs w:val="28"/>
          <w:lang w:eastAsia="en-US"/>
        </w:rPr>
        <w:t>8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3F7F4F" w:rsidRPr="00123B35">
        <w:rPr>
          <w:rFonts w:eastAsiaTheme="minorHAnsi"/>
          <w:sz w:val="28"/>
          <w:szCs w:val="28"/>
          <w:lang w:eastAsia="en-US"/>
        </w:rPr>
        <w:t>8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5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С.Д.Луганцев</w:t>
      </w:r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EE58C1" w:rsidRPr="00EE58C1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>» за 2018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100D8A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426" w:type="pct"/>
          </w:tcPr>
          <w:p w:rsidR="007A47C5" w:rsidRPr="00771DCC" w:rsidRDefault="00100D8A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330" w:type="pct"/>
          </w:tcPr>
          <w:p w:rsidR="007A47C5" w:rsidRPr="00771DCC" w:rsidRDefault="00100D8A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EE58C1" w:rsidRPr="00EE58C1" w:rsidRDefault="00EE58C1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EE58C1" w:rsidRDefault="00EE58C1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EE58C1" w:rsidRPr="00F81E0C" w:rsidRDefault="00100D8A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683045" w:rsidRPr="00683045" w:rsidRDefault="004F3713" w:rsidP="00683045">
            <w:pPr>
              <w:jc w:val="both"/>
            </w:pPr>
            <w:r w:rsidRPr="004F3713">
              <w:t>Реализация исполнени</w:t>
            </w:r>
            <w:r w:rsidR="008F25A9">
              <w:t>я</w:t>
            </w:r>
            <w:r w:rsidRPr="004F3713">
              <w:t xml:space="preserve"> пожарной безопасности отражена в постановлении Администрации </w:t>
            </w:r>
            <w:r w:rsidR="00100D8A">
              <w:t>Криворожского</w:t>
            </w:r>
            <w:r w:rsidRPr="004F3713">
              <w:t xml:space="preserve"> сельского поселения </w:t>
            </w:r>
            <w:r w:rsidR="00683045" w:rsidRPr="00683045">
              <w:t xml:space="preserve">от </w:t>
            </w:r>
            <w:r w:rsidR="00EB5DF0">
              <w:t>15.03.2018г № 29</w:t>
            </w:r>
            <w:r w:rsidR="00EB5DF0" w:rsidRPr="00683045">
              <w:t xml:space="preserve"> </w:t>
            </w:r>
            <w:r w:rsidR="00683045" w:rsidRPr="00683045">
              <w:t xml:space="preserve"> «Об  установлении особого противопожарного периода</w:t>
            </w:r>
            <w:r w:rsidR="00683045">
              <w:t xml:space="preserve"> </w:t>
            </w:r>
            <w:r w:rsidR="00683045" w:rsidRPr="00683045">
              <w:t xml:space="preserve">на территории </w:t>
            </w:r>
            <w:r w:rsidR="00100D8A">
              <w:t>Криворожского</w:t>
            </w:r>
            <w:r w:rsidR="00683045" w:rsidRPr="00683045">
              <w:t xml:space="preserve"> сельского поселения».</w:t>
            </w:r>
          </w:p>
          <w:p w:rsidR="00683045" w:rsidRPr="00683045" w:rsidRDefault="00683045" w:rsidP="00683045">
            <w:pPr>
              <w:ind w:firstLine="709"/>
              <w:jc w:val="both"/>
              <w:rPr>
                <w:bCs/>
              </w:rPr>
            </w:pPr>
          </w:p>
          <w:p w:rsidR="00EE58C1" w:rsidRPr="004F3713" w:rsidRDefault="00EE58C1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EE58C1" w:rsidRPr="00771DCC" w:rsidRDefault="00EE58C1" w:rsidP="004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EE58C1" w:rsidRPr="00771DCC" w:rsidRDefault="00100D8A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426" w:type="pct"/>
          </w:tcPr>
          <w:p w:rsidR="00EE58C1" w:rsidRPr="00771DCC" w:rsidRDefault="00100D8A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330" w:type="pct"/>
          </w:tcPr>
          <w:p w:rsidR="00EE58C1" w:rsidRPr="00771DCC" w:rsidRDefault="00100D8A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 xml:space="preserve">обеспечение </w:t>
            </w:r>
            <w:r w:rsidRPr="00EE58C1">
              <w:rPr>
                <w:bCs/>
                <w:sz w:val="22"/>
                <w:szCs w:val="22"/>
              </w:rPr>
              <w:lastRenderedPageBreak/>
              <w:t>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</w:t>
            </w:r>
            <w:r w:rsidRPr="008F25A9">
              <w:rPr>
                <w:rFonts w:ascii="Times New Roman" w:hAnsi="Times New Roman"/>
              </w:rPr>
              <w:lastRenderedPageBreak/>
              <w:t xml:space="preserve">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>муниципальной программы за 2018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426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01.01.2019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683045" w:rsidRPr="00683045" w:rsidRDefault="00021B1E" w:rsidP="00683045">
            <w:pPr>
              <w:jc w:val="both"/>
            </w:pPr>
            <w:r w:rsidRPr="004F3713">
              <w:t>Реализация исполнени</w:t>
            </w:r>
            <w:r>
              <w:t>я</w:t>
            </w:r>
            <w:r w:rsidRPr="004F3713">
              <w:t xml:space="preserve"> пожарной безопасности отражена в постановлении Администрации </w:t>
            </w:r>
            <w:r w:rsidR="00100D8A">
              <w:t>Криворожского</w:t>
            </w:r>
            <w:r w:rsidRPr="004F3713">
              <w:t xml:space="preserve"> сельского поселения </w:t>
            </w:r>
            <w:r w:rsidR="00EB5DF0">
              <w:t>от 15.03.2018г № 29</w:t>
            </w:r>
            <w:r w:rsidR="00683045" w:rsidRPr="00683045">
              <w:t xml:space="preserve"> «Об  установлении</w:t>
            </w:r>
            <w:r w:rsidR="00683045">
              <w:t xml:space="preserve"> </w:t>
            </w:r>
            <w:r w:rsidR="00683045" w:rsidRPr="00683045">
              <w:t xml:space="preserve">особого противопожарного периодана территории </w:t>
            </w:r>
            <w:r w:rsidR="00100D8A">
              <w:t>Криворожского</w:t>
            </w:r>
            <w:r w:rsidR="00683045" w:rsidRPr="00683045">
              <w:t xml:space="preserve"> сельского поселения».</w:t>
            </w:r>
          </w:p>
          <w:p w:rsidR="00021B1E" w:rsidRPr="004F3713" w:rsidRDefault="00021B1E" w:rsidP="00BA3EA8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 xml:space="preserve">Защита от чрезвычайных </w:t>
            </w:r>
            <w:r w:rsidRPr="00EE58C1">
              <w:rPr>
                <w:sz w:val="22"/>
                <w:szCs w:val="22"/>
              </w:rPr>
              <w:lastRenderedPageBreak/>
              <w:t>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 xml:space="preserve">нижение рисков возникновения чрезвычайных ситуаций и смягчение </w:t>
            </w:r>
            <w:r w:rsidRPr="008F25A9">
              <w:rPr>
                <w:sz w:val="22"/>
                <w:szCs w:val="22"/>
              </w:rPr>
              <w:lastRenderedPageBreak/>
              <w:t>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 xml:space="preserve">улучшение системы информирования населения поселения для своевременного доведения информации об угрозе и возникновении </w:t>
            </w:r>
            <w:r w:rsidRPr="008F25A9">
              <w:rPr>
                <w:bCs/>
                <w:sz w:val="22"/>
                <w:szCs w:val="22"/>
              </w:rPr>
              <w:lastRenderedPageBreak/>
              <w:t>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Принятые меры по поддержанию в постоянной готовности системы </w:t>
            </w:r>
            <w:r w:rsidRPr="008F25A9">
              <w:rPr>
                <w:sz w:val="22"/>
                <w:szCs w:val="22"/>
              </w:rPr>
              <w:lastRenderedPageBreak/>
              <w:t>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>повысить уровень 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6D1B6B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По итогам 2018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2018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55E6" w:rsidRPr="00406AEA" w:rsidTr="00034B31">
        <w:tc>
          <w:tcPr>
            <w:tcW w:w="1277" w:type="pct"/>
            <w:vMerge w:val="restart"/>
          </w:tcPr>
          <w:p w:rsidR="001B55E6" w:rsidRPr="008778E8" w:rsidRDefault="001B55E6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="008778E8" w:rsidRPr="008778E8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1B55E6" w:rsidRPr="00406AEA" w:rsidRDefault="001B55E6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1B55E6" w:rsidRPr="00406AEA" w:rsidRDefault="00100D8A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1B55E6" w:rsidRPr="00406AEA" w:rsidRDefault="00100D8A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1B55E6" w:rsidRPr="00406AEA" w:rsidRDefault="00100D8A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Pr="00406AEA" w:rsidRDefault="0082138A" w:rsidP="00BA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</w:tr>
      <w:tr w:rsidR="006D1B6B" w:rsidRPr="00406AEA" w:rsidTr="00034B31">
        <w:tc>
          <w:tcPr>
            <w:tcW w:w="1277" w:type="pct"/>
            <w:vMerge/>
          </w:tcPr>
          <w:p w:rsidR="006D1B6B" w:rsidRPr="00406AEA" w:rsidRDefault="006D1B6B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D1B6B" w:rsidRPr="00406AEA" w:rsidRDefault="006D1B6B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6D1B6B" w:rsidRPr="00406AEA" w:rsidTr="00034B31">
        <w:tc>
          <w:tcPr>
            <w:tcW w:w="1277" w:type="pct"/>
            <w:vMerge w:val="restart"/>
          </w:tcPr>
          <w:p w:rsidR="006D1B6B" w:rsidRPr="008778E8" w:rsidRDefault="006D1B6B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6D1B6B" w:rsidRPr="008778E8" w:rsidRDefault="006D1B6B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6D1B6B" w:rsidRPr="00406AEA" w:rsidRDefault="006D1B6B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6D1B6B" w:rsidRPr="00406AEA" w:rsidTr="00034B31">
        <w:tc>
          <w:tcPr>
            <w:tcW w:w="1277" w:type="pct"/>
            <w:vMerge/>
          </w:tcPr>
          <w:p w:rsidR="006D1B6B" w:rsidRPr="00406AEA" w:rsidRDefault="006D1B6B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D1B6B" w:rsidRPr="00406AEA" w:rsidRDefault="006D1B6B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6D1B6B" w:rsidRPr="00406AEA" w:rsidTr="00034B31">
        <w:tc>
          <w:tcPr>
            <w:tcW w:w="1277" w:type="pct"/>
            <w:vMerge w:val="restart"/>
          </w:tcPr>
          <w:p w:rsidR="006D1B6B" w:rsidRDefault="006D1B6B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6D1B6B" w:rsidRPr="00406AEA" w:rsidRDefault="006D1B6B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6D1B6B" w:rsidRPr="00406AEA" w:rsidRDefault="006D1B6B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6D1B6B" w:rsidRPr="00406AEA" w:rsidTr="00034B31">
        <w:tc>
          <w:tcPr>
            <w:tcW w:w="1277" w:type="pct"/>
            <w:vMerge/>
          </w:tcPr>
          <w:p w:rsidR="006D1B6B" w:rsidRPr="00406AEA" w:rsidRDefault="006D1B6B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6D1B6B" w:rsidRPr="00406AEA" w:rsidRDefault="006D1B6B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1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30" w:type="pct"/>
          </w:tcPr>
          <w:p w:rsidR="006D1B6B" w:rsidRPr="00406AEA" w:rsidRDefault="00100D8A" w:rsidP="00100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429" w:type="pct"/>
            <w:gridSpan w:val="2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6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12" w:rsidRDefault="00190712" w:rsidP="003C5427">
      <w:r>
        <w:separator/>
      </w:r>
    </w:p>
  </w:endnote>
  <w:endnote w:type="continuationSeparator" w:id="0">
    <w:p w:rsidR="00190712" w:rsidRDefault="00190712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100D8A" w:rsidRPr="00AC3D01" w:rsidRDefault="00FE4323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100D8A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08236B"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100D8A" w:rsidRDefault="00100D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0D8A" w:rsidRDefault="00FE4323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100D8A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08236B">
          <w:rPr>
            <w:noProof/>
            <w:sz w:val="28"/>
            <w:szCs w:val="28"/>
          </w:rPr>
          <w:t>14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12" w:rsidRDefault="00190712" w:rsidP="003C5427">
      <w:r>
        <w:separator/>
      </w:r>
    </w:p>
  </w:footnote>
  <w:footnote w:type="continuationSeparator" w:id="0">
    <w:p w:rsidR="00190712" w:rsidRDefault="00190712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79CB"/>
    <w:rsid w:val="0069114F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78E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8B0"/>
    <w:rsid w:val="009275BC"/>
    <w:rsid w:val="00931BD0"/>
    <w:rsid w:val="009333DA"/>
    <w:rsid w:val="00934EC5"/>
    <w:rsid w:val="009361CE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21BB"/>
    <w:rsid w:val="00C5587B"/>
    <w:rsid w:val="00C55EC4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A4EC-FE30-4D6E-8836-D334948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9</cp:revision>
  <cp:lastPrinted>2019-03-20T10:42:00Z</cp:lastPrinted>
  <dcterms:created xsi:type="dcterms:W3CDTF">2019-03-20T10:29:00Z</dcterms:created>
  <dcterms:modified xsi:type="dcterms:W3CDTF">2019-03-26T10:10:00Z</dcterms:modified>
</cp:coreProperties>
</file>